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08D9" w14:textId="41A70B91" w:rsidR="00B038C6" w:rsidRDefault="00982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B038C6">
        <w:rPr>
          <w:rFonts w:ascii="Times New Roman" w:hAnsi="Times New Roman" w:cs="Times New Roman"/>
          <w:b/>
          <w:sz w:val="24"/>
          <w:szCs w:val="24"/>
        </w:rPr>
        <w:t xml:space="preserve">rof. Dr. Johannes Wertenbruch, Der BMJV-Referentenentwurf eines </w:t>
      </w:r>
      <w:proofErr w:type="spellStart"/>
      <w:r w:rsidR="00B038C6">
        <w:rPr>
          <w:rFonts w:ascii="Times New Roman" w:hAnsi="Times New Roman" w:cs="Times New Roman"/>
          <w:b/>
          <w:sz w:val="24"/>
          <w:szCs w:val="24"/>
        </w:rPr>
        <w:t>MoPeG</w:t>
      </w:r>
      <w:proofErr w:type="spellEnd"/>
      <w:r w:rsidR="00B038C6">
        <w:rPr>
          <w:rFonts w:ascii="Times New Roman" w:hAnsi="Times New Roman" w:cs="Times New Roman"/>
          <w:b/>
          <w:sz w:val="24"/>
          <w:szCs w:val="24"/>
        </w:rPr>
        <w:t xml:space="preserve">, GmbHR, 2021, 1 </w:t>
      </w:r>
      <w:r w:rsidR="0053323E">
        <w:rPr>
          <w:rFonts w:ascii="Times New Roman" w:hAnsi="Times New Roman" w:cs="Times New Roman"/>
          <w:b/>
          <w:sz w:val="24"/>
          <w:szCs w:val="24"/>
        </w:rPr>
        <w:t>–</w:t>
      </w:r>
      <w:r w:rsidR="00B038C6">
        <w:rPr>
          <w:rFonts w:ascii="Times New Roman" w:hAnsi="Times New Roman" w:cs="Times New Roman"/>
          <w:b/>
          <w:sz w:val="24"/>
          <w:szCs w:val="24"/>
        </w:rPr>
        <w:t xml:space="preserve"> Überblick</w:t>
      </w:r>
    </w:p>
    <w:p w14:paraId="4A23A4B8" w14:textId="77777777" w:rsidR="0053323E" w:rsidRDefault="0053323E">
      <w:pPr>
        <w:rPr>
          <w:rFonts w:ascii="Times New Roman" w:hAnsi="Times New Roman" w:cs="Times New Roman"/>
          <w:b/>
          <w:sz w:val="24"/>
          <w:szCs w:val="24"/>
        </w:rPr>
      </w:pPr>
    </w:p>
    <w:p w14:paraId="0E1D4A8B" w14:textId="1B2A95FE" w:rsidR="00C921F7" w:rsidRDefault="00442FA3" w:rsidP="007820B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Das Bundesministerium der Justiz und für Verbraucherschutz (BMJV) hat Ende November 2020 den Referentenentwurf (</w:t>
      </w:r>
      <w:proofErr w:type="spellStart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RefE</w:t>
      </w:r>
      <w:proofErr w:type="spellEnd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) eines Gesetzes zur Modernisierung des Personengesellschaftsrechts (</w:t>
      </w:r>
      <w:proofErr w:type="spellStart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MoPeG</w:t>
      </w:r>
      <w:proofErr w:type="spellEnd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) veröffentlicht</w:t>
      </w:r>
      <w:r w:rsidR="00042106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921F7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proofErr w:type="spellStart"/>
      <w:r w:rsidR="00C921F7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817E7B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efE</w:t>
      </w:r>
      <w:proofErr w:type="spellEnd"/>
      <w:r w:rsidR="00817E7B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921F7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stimmt inhaltlich weitgehend mit dem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20.4.2020 veröffentlichte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Mauracher</w:t>
      </w:r>
      <w:proofErr w:type="spellEnd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Entwurf der Expertenkommission zur Modernisierung des Personengesellschaftsrechts</w:t>
      </w:r>
      <w:r w:rsid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überein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C921F7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Prof. </w:t>
      </w:r>
      <w:r w:rsidR="00B038C6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Dr. </w:t>
      </w:r>
      <w:r w:rsidR="00C921F7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Wertenbruch war Mitglied dieser Kommission. </w:t>
      </w:r>
    </w:p>
    <w:p w14:paraId="6495D3F8" w14:textId="77777777" w:rsidR="007820BB" w:rsidRPr="007820BB" w:rsidRDefault="007820BB" w:rsidP="007820BB">
      <w:pPr>
        <w:pStyle w:val="Listenabsatz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C164A8" w14:textId="0AF28431" w:rsidR="00867C66" w:rsidRDefault="00C921F7" w:rsidP="007820B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den tragenden Säulen des </w:t>
      </w:r>
      <w:proofErr w:type="spellStart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RefE</w:t>
      </w:r>
      <w:proofErr w:type="spellEnd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gehört die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Neuregelung des Rechts der GbR mit Einführung eines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öffentlichen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Gesellschaftsregisters für die rechts- und parteifähige Außengesellschaft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Im Zusammenhang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der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anordnung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Registrierungspflicht steht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bedeutende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andere Register </w:t>
      </w:r>
      <w:r w:rsidR="00867C66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– insbesondere für das Grundbuch – geltende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Voreintragungserfordernis. Die </w:t>
      </w:r>
      <w:r w:rsidR="00867C66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abweichend vom </w:t>
      </w:r>
      <w:proofErr w:type="spellStart"/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Mauracher</w:t>
      </w:r>
      <w:proofErr w:type="spellEnd"/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Entwurf gestrichene Voreintragungsobliegenheit bei den Schutzrechtsregistern des 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Deutschen Patent- und Markenamtes (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DPMA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sollte im weiteren Gesetzgebungsverfahren wieder 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implementiert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werden.</w:t>
      </w:r>
    </w:p>
    <w:p w14:paraId="14C60952" w14:textId="77777777" w:rsidR="007820BB" w:rsidRPr="007820BB" w:rsidRDefault="007820BB" w:rsidP="007820BB">
      <w:pPr>
        <w:pStyle w:val="Listenabsatz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D3824" w14:textId="12E96710" w:rsidR="00867C66" w:rsidRDefault="007820BB" w:rsidP="007820B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 </w:t>
      </w:r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proofErr w:type="spellStart"/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RefE</w:t>
      </w:r>
      <w:proofErr w:type="spellEnd"/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enthaltene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gesellschaftsrechtliche Öffnung der</w:t>
      </w:r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Rechtsform der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OHG/KG </w:t>
      </w:r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damit auch der GmbH &amp; Co. KG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Freie Berufe </w:t>
      </w:r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entspricht auch einer seit längerer Zeit bestehenden rechtspolitischen Forderung aus dem Bereich der Anwaltschaft. Durch den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Berufsrechtsvorbehalts </w:t>
      </w:r>
      <w:r w:rsidR="00CE0F22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wird berufsspezifischen Anforderungen hinreichend Rechnung getragen.</w:t>
      </w:r>
    </w:p>
    <w:p w14:paraId="45A1975E" w14:textId="77777777" w:rsidR="007820BB" w:rsidRPr="007820BB" w:rsidRDefault="007820BB" w:rsidP="007820BB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8AEC8D" w14:textId="77777777" w:rsidR="007820BB" w:rsidRPr="007820BB" w:rsidRDefault="007820BB" w:rsidP="007820BB">
      <w:pPr>
        <w:pStyle w:val="Listenabsatz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346C9" w14:textId="1F238663" w:rsidR="00867C66" w:rsidRDefault="00826B8E" w:rsidP="007820B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OHG und KG soll künftig in Bezug auf die Geltendmachung von Mängeln gefasster Gesellschafterbeschlüsse in Anlehnung an das Recht der AG und GmbH das Modell der Nichtigkeits- und Anfechtungsklage gegen die Gesellschaft als solche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gelten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Beschränkung d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ieses 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gesetzliche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Regelmodell auf die OHG/KG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– mit gesellschaftsvertraglicher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Wahlmöglichkeit für die Gesellschafter einer GbR (Optionsmodell) –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berücksichtigt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dass bei 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kleine</w:t>
      </w:r>
      <w:r w:rsidR="008F53C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wirtschaftlich nicht bedeutenden GbR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die Notwendigkeit der</w:t>
      </w:r>
      <w:r w:rsidR="00442FA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Klage gegen die Gesellschaft als solche nicht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interessengerecht ist.</w:t>
      </w:r>
    </w:p>
    <w:p w14:paraId="1194EC8A" w14:textId="77777777" w:rsidR="007820BB" w:rsidRPr="007820BB" w:rsidRDefault="007820BB" w:rsidP="007820BB">
      <w:pPr>
        <w:pStyle w:val="Listenabsatz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6C6699" w14:textId="2D6FF8A8" w:rsidR="00442FA3" w:rsidRDefault="00442FA3" w:rsidP="007820B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</w:t>
      </w:r>
      <w:r w:rsidR="0033302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Vorschrift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</w:t>
      </w:r>
      <w:r w:rsidR="00867C66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§ 170 Abs. 2 HGB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RefE</w:t>
      </w:r>
      <w:proofErr w:type="spellEnd"/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3302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regelt die 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Stimmrechtsausübung in der Komplementär-GmbH </w:t>
      </w:r>
      <w:r w:rsidR="0033302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in</w:t>
      </w:r>
      <w:r w:rsidR="00057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</w:t>
      </w:r>
      <w:r w:rsidR="0033302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Praxis eine immer größere Rolle spielenden</w:t>
      </w: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Einheits-GmbH &amp; Co. KG</w:t>
      </w:r>
      <w:r w:rsidR="0033302A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.  Da die GmbH &amp; Co. KG die einzige Gesellschafterin ihrer eigenen Komplementär-GmbH ist, müssen grundsätzlich die Kommanditisten in der Gesellschafterversammlung der GmbH das Stimmrecht ausüben</w:t>
      </w:r>
      <w:r w:rsidR="008E3411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14:paraId="43337081" w14:textId="77777777" w:rsidR="007820BB" w:rsidRPr="007820BB" w:rsidRDefault="007820BB" w:rsidP="007820BB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47B68E" w14:textId="77777777" w:rsidR="007820BB" w:rsidRPr="007820BB" w:rsidRDefault="007820BB" w:rsidP="007820BB">
      <w:pPr>
        <w:pStyle w:val="Listenabsatz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E5C660" w14:textId="77777777" w:rsidR="0033302A" w:rsidRPr="007820BB" w:rsidRDefault="0033302A" w:rsidP="007820B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Die seit Inkrafttreten der CPO-Novelle – zeitgleich mit dem BGB – am 1.1.1900 umstrittene Regelung des § 736 ZPO, nach der die Zwangsvollstreckung g</w:t>
      </w:r>
      <w:r w:rsidR="00823B27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egen die GbR </w:t>
      </w:r>
      <w:r w:rsidR="00882A73" w:rsidRPr="007820BB">
        <w:rPr>
          <w:rFonts w:ascii="Times New Roman" w:eastAsia="Times New Roman" w:hAnsi="Times New Roman" w:cs="Times New Roman"/>
          <w:sz w:val="24"/>
          <w:szCs w:val="24"/>
          <w:lang w:eastAsia="de-DE"/>
        </w:rPr>
        <w:t>ein Urteil gegen „alle Gesellschafter“ voraussetzt, entfällt durch die ausdrückliche gesetzliche Festschreibung der Rechts- und Parteifähigkeit der GbR im Anschluss an die Rechtsprechung des BGH.</w:t>
      </w:r>
    </w:p>
    <w:sectPr w:rsidR="0033302A" w:rsidRPr="00782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6FFD"/>
    <w:multiLevelType w:val="hybridMultilevel"/>
    <w:tmpl w:val="D0140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B56"/>
    <w:multiLevelType w:val="hybridMultilevel"/>
    <w:tmpl w:val="32848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30E0"/>
    <w:multiLevelType w:val="hybridMultilevel"/>
    <w:tmpl w:val="D0140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83"/>
    <w:rsid w:val="00042106"/>
    <w:rsid w:val="00057EFC"/>
    <w:rsid w:val="00073377"/>
    <w:rsid w:val="0027069E"/>
    <w:rsid w:val="0033302A"/>
    <w:rsid w:val="00442FA3"/>
    <w:rsid w:val="0053323E"/>
    <w:rsid w:val="007820BB"/>
    <w:rsid w:val="00813F83"/>
    <w:rsid w:val="00817E7B"/>
    <w:rsid w:val="00823B27"/>
    <w:rsid w:val="00826B8E"/>
    <w:rsid w:val="00867C66"/>
    <w:rsid w:val="00882A73"/>
    <w:rsid w:val="008E3411"/>
    <w:rsid w:val="008F53CA"/>
    <w:rsid w:val="009821E9"/>
    <w:rsid w:val="00A41739"/>
    <w:rsid w:val="00B038C6"/>
    <w:rsid w:val="00C33C87"/>
    <w:rsid w:val="00C921F7"/>
    <w:rsid w:val="00CE0F22"/>
    <w:rsid w:val="00E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6D89"/>
  <w15:chartTrackingRefBased/>
  <w15:docId w15:val="{032C9683-7AB9-4FA7-895A-414CF82E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2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25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E257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257E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57E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57E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msonormal0">
    <w:name w:val="msonormal"/>
    <w:basedOn w:val="Standard"/>
    <w:rsid w:val="00E2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2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E257EA"/>
  </w:style>
  <w:style w:type="character" w:styleId="Hyperlink">
    <w:name w:val="Hyperlink"/>
    <w:basedOn w:val="Absatz-Standardschriftart"/>
    <w:uiPriority w:val="99"/>
    <w:semiHidden/>
    <w:unhideWhenUsed/>
    <w:rsid w:val="00E257E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257EA"/>
    <w:rPr>
      <w:color w:val="800080"/>
      <w:u w:val="single"/>
    </w:rPr>
  </w:style>
  <w:style w:type="character" w:customStyle="1" w:styleId="zsseite">
    <w:name w:val="zsseite"/>
    <w:basedOn w:val="Absatz-Standardschriftart"/>
    <w:rsid w:val="00E257EA"/>
  </w:style>
  <w:style w:type="character" w:styleId="Hervorhebung">
    <w:name w:val="Emphasis"/>
    <w:basedOn w:val="Absatz-Standardschriftart"/>
    <w:uiPriority w:val="20"/>
    <w:qFormat/>
    <w:rsid w:val="00E257EA"/>
    <w:rPr>
      <w:i/>
      <w:iCs/>
    </w:rPr>
  </w:style>
  <w:style w:type="paragraph" w:styleId="Listenabsatz">
    <w:name w:val="List Paragraph"/>
    <w:basedOn w:val="Standard"/>
    <w:uiPriority w:val="34"/>
    <w:qFormat/>
    <w:rsid w:val="00C921F7"/>
    <w:pPr>
      <w:ind w:left="720"/>
      <w:contextualSpacing/>
    </w:pPr>
  </w:style>
  <w:style w:type="paragraph" w:customStyle="1" w:styleId="diazoadded">
    <w:name w:val="diazoadded"/>
    <w:basedOn w:val="Standard"/>
    <w:rsid w:val="00A4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Wertenbruch</dc:creator>
  <cp:keywords/>
  <dc:description/>
  <cp:lastModifiedBy>Morsy Raghda</cp:lastModifiedBy>
  <cp:revision>2</cp:revision>
  <dcterms:created xsi:type="dcterms:W3CDTF">2021-01-15T17:08:00Z</dcterms:created>
  <dcterms:modified xsi:type="dcterms:W3CDTF">2021-01-15T17:08:00Z</dcterms:modified>
</cp:coreProperties>
</file>