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DE" w:rsidRDefault="00563EDE" w:rsidP="00991924">
      <w:pPr>
        <w:pStyle w:val="Engdruck"/>
        <w:spacing w:after="0"/>
      </w:pPr>
      <w:r>
        <w:t>Prof. Dr. Tobias Helms</w:t>
      </w:r>
    </w:p>
    <w:p w:rsidR="00563EDE" w:rsidRDefault="00563EDE" w:rsidP="00991924">
      <w:pPr>
        <w:pStyle w:val="Engdruck"/>
        <w:spacing w:after="0"/>
      </w:pPr>
      <w:proofErr w:type="spellStart"/>
      <w:r>
        <w:t>Ri</w:t>
      </w:r>
      <w:r w:rsidR="00B80958">
        <w:t>BGH</w:t>
      </w:r>
      <w:proofErr w:type="spellEnd"/>
      <w:r>
        <w:t xml:space="preserve"> </w:t>
      </w:r>
      <w:r w:rsidR="007D0D92">
        <w:t>Prof. Dr. Frank Klinkhammer</w:t>
      </w:r>
      <w:r>
        <w:tab/>
      </w:r>
      <w:r>
        <w:tab/>
      </w:r>
      <w:r>
        <w:tab/>
      </w:r>
      <w:r>
        <w:tab/>
      </w:r>
      <w:r>
        <w:tab/>
      </w:r>
      <w:r w:rsidR="00B70BA2">
        <w:tab/>
        <w:t xml:space="preserve">   </w:t>
      </w:r>
      <w:r w:rsidR="0014494B" w:rsidRPr="00E609FF">
        <w:t>Marburg, den</w:t>
      </w:r>
      <w:r w:rsidR="001133BE" w:rsidRPr="00E609FF">
        <w:t xml:space="preserve"> </w:t>
      </w:r>
      <w:r w:rsidR="00526709">
        <w:t>8</w:t>
      </w:r>
      <w:r w:rsidR="00A351DA">
        <w:t>.</w:t>
      </w:r>
      <w:r w:rsidR="004F1063">
        <w:t>7</w:t>
      </w:r>
      <w:r w:rsidR="00002A0D">
        <w:t>.</w:t>
      </w:r>
      <w:r w:rsidR="00AF60EB">
        <w:t>20</w:t>
      </w:r>
      <w:r w:rsidR="00E56CFA">
        <w:t>2</w:t>
      </w:r>
      <w:r w:rsidR="000A73B1">
        <w:t>4</w:t>
      </w:r>
    </w:p>
    <w:p w:rsidR="00563EDE" w:rsidRDefault="00563EDE">
      <w:pPr>
        <w:pStyle w:val="Engdruck"/>
      </w:pPr>
    </w:p>
    <w:p w:rsidR="00563EDE" w:rsidRDefault="003D2E7A">
      <w:pPr>
        <w:pStyle w:val="Titel"/>
      </w:pPr>
      <w:r>
        <w:t>Seminar zum nationalen und internationalen Familienrecht</w:t>
      </w:r>
    </w:p>
    <w:p w:rsidR="00563EDE" w:rsidRDefault="00676D10">
      <w:pPr>
        <w:pStyle w:val="Titel"/>
      </w:pPr>
      <w:r>
        <w:t>im WS 20</w:t>
      </w:r>
      <w:r w:rsidR="00E56CFA">
        <w:t>2</w:t>
      </w:r>
      <w:r w:rsidR="00F56DDB">
        <w:t>4</w:t>
      </w:r>
      <w:r>
        <w:t>/20</w:t>
      </w:r>
      <w:r w:rsidR="00A54941">
        <w:t>2</w:t>
      </w:r>
      <w:r w:rsidR="00F56DDB">
        <w:t>5</w:t>
      </w:r>
    </w:p>
    <w:p w:rsidR="002271A4" w:rsidRDefault="00676D10">
      <w:r>
        <w:t>Im Wintersemester</w:t>
      </w:r>
      <w:r w:rsidR="00AF60EB">
        <w:t xml:space="preserve"> 20</w:t>
      </w:r>
      <w:r w:rsidR="00E56CFA">
        <w:t>2</w:t>
      </w:r>
      <w:r w:rsidR="00F56DDB">
        <w:t>4</w:t>
      </w:r>
      <w:r w:rsidR="00AF60EB">
        <w:t>/20</w:t>
      </w:r>
      <w:r w:rsidR="00A54941">
        <w:t>2</w:t>
      </w:r>
      <w:r w:rsidR="00F56DDB">
        <w:t>5</w:t>
      </w:r>
      <w:r w:rsidR="00563EDE">
        <w:t xml:space="preserve"> biete ich in Zusammenarbeit mit Herrn </w:t>
      </w:r>
      <w:r w:rsidR="007D0D92">
        <w:t xml:space="preserve">Prof. </w:t>
      </w:r>
      <w:r w:rsidR="00563EDE">
        <w:t xml:space="preserve">Dr. Klinkhammer, </w:t>
      </w:r>
      <w:r w:rsidR="00B80958">
        <w:t>Richter am BGH</w:t>
      </w:r>
      <w:r w:rsidR="00563EDE">
        <w:t xml:space="preserve">, ein Seminar zum </w:t>
      </w:r>
      <w:r w:rsidR="00F96DEF">
        <w:t xml:space="preserve">nationalen und internationalen </w:t>
      </w:r>
      <w:r w:rsidR="00563EDE">
        <w:t>Familienrecht an. Das Seminar ist eine Veranstaltung, in der eine wissen</w:t>
      </w:r>
      <w:r w:rsidR="00637DC5">
        <w:t>schaftliche Hausarbeit i.S.v. § </w:t>
      </w:r>
      <w:r w:rsidR="00563EDE">
        <w:t>13 der Schwerpunktbereichsprüfungsordnung (SPB I „Recht der Privatperson“) angefertigt werden kann. Darüber hinaus steht die Seminarteilnahme auch allen sonstigen Interessenten offen.</w:t>
      </w:r>
      <w:r w:rsidR="00B80958">
        <w:t xml:space="preserve"> </w:t>
      </w:r>
    </w:p>
    <w:p w:rsidR="00BD7324" w:rsidRDefault="00B80958" w:rsidP="00BD7324">
      <w:r w:rsidRPr="0061728E">
        <w:t xml:space="preserve">Die </w:t>
      </w:r>
      <w:r w:rsidR="002271A4">
        <w:t xml:space="preserve">erste </w:t>
      </w:r>
      <w:r w:rsidR="00614E26" w:rsidRPr="0061728E">
        <w:t>Vorbesprechung</w:t>
      </w:r>
      <w:r w:rsidRPr="0061728E">
        <w:t xml:space="preserve"> </w:t>
      </w:r>
      <w:r w:rsidR="002271A4">
        <w:t xml:space="preserve">und Themenvergabe </w:t>
      </w:r>
      <w:r w:rsidRPr="0061728E">
        <w:t xml:space="preserve">findet </w:t>
      </w:r>
      <w:r w:rsidR="00526709">
        <w:t xml:space="preserve">in der Seminarbibliothek des Lehrstuhls von Prof. Dr. Markus Roth </w:t>
      </w:r>
      <w:r w:rsidRPr="00F702DE">
        <w:t>am</w:t>
      </w:r>
      <w:r w:rsidR="00BB3EED" w:rsidRPr="00F702DE">
        <w:t xml:space="preserve"> </w:t>
      </w:r>
      <w:r w:rsidR="008A7E1B" w:rsidRPr="00F702DE">
        <w:t>Freitag, den 2</w:t>
      </w:r>
      <w:r w:rsidR="00F56DDB">
        <w:t>6</w:t>
      </w:r>
      <w:r w:rsidR="008A7E1B" w:rsidRPr="00F702DE">
        <w:t>. Juli 20</w:t>
      </w:r>
      <w:r w:rsidR="00E56CFA" w:rsidRPr="00F702DE">
        <w:t>2</w:t>
      </w:r>
      <w:r w:rsidR="00F56DDB">
        <w:t>4</w:t>
      </w:r>
      <w:r w:rsidR="008A7E1B" w:rsidRPr="00F702DE">
        <w:t xml:space="preserve"> </w:t>
      </w:r>
      <w:r w:rsidR="005E4FC3" w:rsidRPr="00F702DE">
        <w:t xml:space="preserve">um </w:t>
      </w:r>
      <w:r w:rsidR="00937430" w:rsidRPr="00F702DE">
        <w:t>1</w:t>
      </w:r>
      <w:r w:rsidR="00526709">
        <w:t>4</w:t>
      </w:r>
      <w:r w:rsidR="00937430" w:rsidRPr="00F702DE">
        <w:t xml:space="preserve"> Uhr c.t.</w:t>
      </w:r>
      <w:r w:rsidR="00E56CFA" w:rsidRPr="00F702DE">
        <w:t xml:space="preserve"> </w:t>
      </w:r>
      <w:r w:rsidR="00DE0B96">
        <w:t xml:space="preserve">statt. </w:t>
      </w:r>
      <w:r w:rsidR="00BD7324">
        <w:t xml:space="preserve">Für Teilnehmer, die ihre Seminararbeit </w:t>
      </w:r>
      <w:r w:rsidR="00AF60EB">
        <w:t xml:space="preserve">erst </w:t>
      </w:r>
      <w:r w:rsidR="003E302C">
        <w:t xml:space="preserve">zu einem späteren Zeitpunkt </w:t>
      </w:r>
      <w:r w:rsidR="00BD7324">
        <w:t xml:space="preserve">schreiben wollen, </w:t>
      </w:r>
      <w:r w:rsidR="002271A4">
        <w:t>wird</w:t>
      </w:r>
      <w:r w:rsidR="00BD7324">
        <w:t xml:space="preserve"> eine </w:t>
      </w:r>
      <w:r w:rsidR="003E302C">
        <w:t xml:space="preserve">zweite Vorbesprechung und </w:t>
      </w:r>
      <w:r w:rsidR="00BD7324">
        <w:t xml:space="preserve">Themenvergabe zu einem späteren Termin erfolgen. Auch diese </w:t>
      </w:r>
      <w:r w:rsidR="00D75011">
        <w:t>Studierenden</w:t>
      </w:r>
      <w:r w:rsidR="00BD7324">
        <w:t xml:space="preserve"> sollen aber </w:t>
      </w:r>
      <w:r w:rsidR="00206ABA">
        <w:t xml:space="preserve">möglichst schon </w:t>
      </w:r>
      <w:r w:rsidR="00BD7324">
        <w:t xml:space="preserve">an der </w:t>
      </w:r>
      <w:r w:rsidR="00206ABA">
        <w:t xml:space="preserve">ersten </w:t>
      </w:r>
      <w:r w:rsidR="00BD7324">
        <w:t>Vorbesprechung teilnehmen, bekommen dort allerdings noch kein Thema zugeteilt.</w:t>
      </w:r>
      <w:r w:rsidR="003E302C">
        <w:t xml:space="preserve"> Dort wird dann der zweite Termin für die Themenvergabe besprochen.</w:t>
      </w:r>
    </w:p>
    <w:p w:rsidR="00563EDE" w:rsidRDefault="00563EDE">
      <w:r>
        <w:t>Folgende Themenvorschläge sind vorgesehen:</w:t>
      </w:r>
    </w:p>
    <w:p w:rsidR="00563EDE" w:rsidRDefault="00563EDE">
      <w:pPr>
        <w:pStyle w:val="Titel"/>
      </w:pPr>
    </w:p>
    <w:p w:rsidR="00AE7165" w:rsidRPr="000A7624" w:rsidRDefault="00F56DDB" w:rsidP="00E41AFE">
      <w:pPr>
        <w:numPr>
          <w:ilvl w:val="0"/>
          <w:numId w:val="5"/>
        </w:numPr>
      </w:pPr>
      <w:r>
        <w:t xml:space="preserve">Das neue </w:t>
      </w:r>
      <w:r w:rsidR="00FC162F">
        <w:t xml:space="preserve">deutsche </w:t>
      </w:r>
      <w:r>
        <w:t>Namensrecht</w:t>
      </w:r>
      <w:r w:rsidR="00FC162F">
        <w:t xml:space="preserve"> aufgrund des Gesetzes zur Änderung des Ehenamens- und Geburtsnamensrechts</w:t>
      </w:r>
    </w:p>
    <w:p w:rsidR="0010700D" w:rsidRDefault="00FC162F" w:rsidP="0084140B">
      <w:pPr>
        <w:numPr>
          <w:ilvl w:val="0"/>
          <w:numId w:val="5"/>
        </w:numPr>
      </w:pPr>
      <w:r>
        <w:t>Das Gesetz über die Selbstbestimmung in Bezug auf den Geschlechtseintrag</w:t>
      </w:r>
    </w:p>
    <w:p w:rsidR="00BC6D2F" w:rsidRDefault="00FC162F" w:rsidP="0084140B">
      <w:pPr>
        <w:numPr>
          <w:ilvl w:val="0"/>
          <w:numId w:val="5"/>
        </w:numPr>
      </w:pPr>
      <w:r>
        <w:t>Die Entscheidung des BVerfG zum Anfechtungsrecht des biologischen Vaters (</w:t>
      </w:r>
      <w:r w:rsidR="00FC0201">
        <w:t xml:space="preserve">FamRZ </w:t>
      </w:r>
      <w:proofErr w:type="spellStart"/>
      <w:r w:rsidR="00FC0201">
        <w:t>FamRZ</w:t>
      </w:r>
      <w:proofErr w:type="spellEnd"/>
      <w:r w:rsidR="00FC0201">
        <w:t xml:space="preserve"> 2024, 846</w:t>
      </w:r>
      <w:r>
        <w:t>): Analyse und Reformperspektiven</w:t>
      </w:r>
    </w:p>
    <w:p w:rsidR="005A1938" w:rsidRDefault="005A1938" w:rsidP="005A1938">
      <w:pPr>
        <w:numPr>
          <w:ilvl w:val="0"/>
          <w:numId w:val="5"/>
        </w:numPr>
      </w:pPr>
      <w:r>
        <w:t>Die Eckpunkte des Bundesministeriums der Justiz für eine Reform des Abstammungsrechts vom 16.1.2024</w:t>
      </w:r>
    </w:p>
    <w:p w:rsidR="00001F94" w:rsidRDefault="00001F94" w:rsidP="00FC4C83">
      <w:pPr>
        <w:numPr>
          <w:ilvl w:val="0"/>
          <w:numId w:val="5"/>
        </w:numPr>
      </w:pPr>
      <w:r>
        <w:t xml:space="preserve">Der Abschlussbericht der Kommission zur Reproduktiven Selbstbestimmung und Fortpflanzungsmedizin in Bezug auf die Legalisierung altruistischer </w:t>
      </w:r>
      <w:bookmarkStart w:id="0" w:name="_GoBack"/>
      <w:bookmarkEnd w:id="0"/>
      <w:r>
        <w:t>Leihmutterschaft (</w:t>
      </w:r>
      <w:r w:rsidRPr="00001F94">
        <w:t>https://www.bundesgesundheitsministerium.de/fileadmin/Dateien/3_Downloads/K/Kom-rSF/Abschlussbericht_Kom-rSF.pdf</w:t>
      </w:r>
      <w:r>
        <w:t>)</w:t>
      </w:r>
    </w:p>
    <w:p w:rsidR="005D096C" w:rsidRDefault="005D096C" w:rsidP="00FC4C83">
      <w:pPr>
        <w:numPr>
          <w:ilvl w:val="0"/>
          <w:numId w:val="5"/>
        </w:numPr>
      </w:pPr>
      <w:r>
        <w:t>Die Eckpunkte des Bundesministeriums der Justiz für eine Reform des Kindschaftsrechts vom 25.1.2024</w:t>
      </w:r>
    </w:p>
    <w:p w:rsidR="001213A8" w:rsidRPr="001213A8" w:rsidRDefault="001213A8" w:rsidP="00AE7165">
      <w:pPr>
        <w:numPr>
          <w:ilvl w:val="0"/>
          <w:numId w:val="5"/>
        </w:numPr>
      </w:pPr>
      <w:r w:rsidRPr="001213A8">
        <w:lastRenderedPageBreak/>
        <w:t>Die Bemessung des Kindesunterhalts nach dem beiderseitigen Elterneinkommen und die Folgen für den Ehegattenunterhalt</w:t>
      </w:r>
    </w:p>
    <w:p w:rsidR="00FC162F" w:rsidRDefault="00FC162F" w:rsidP="00AE7165">
      <w:pPr>
        <w:numPr>
          <w:ilvl w:val="0"/>
          <w:numId w:val="5"/>
        </w:numPr>
      </w:pPr>
      <w:r>
        <w:t>Das neue internationale Namensrecht nach Art. 10 EGBGB aufgrund des Gesetzes zur Änderung des Ehenamens- und Geburtsnamensrechts</w:t>
      </w:r>
    </w:p>
    <w:p w:rsidR="00080D02" w:rsidRDefault="00BE6EFE" w:rsidP="00AE7165">
      <w:pPr>
        <w:numPr>
          <w:ilvl w:val="0"/>
          <w:numId w:val="5"/>
        </w:numPr>
      </w:pPr>
      <w:r>
        <w:t xml:space="preserve">Behandlung </w:t>
      </w:r>
      <w:r w:rsidR="00CE0B2D">
        <w:t xml:space="preserve">von </w:t>
      </w:r>
      <w:r>
        <w:t xml:space="preserve">ausländischen </w:t>
      </w:r>
      <w:r w:rsidR="00080D02">
        <w:t xml:space="preserve">Privatscheidungen </w:t>
      </w:r>
      <w:r w:rsidR="00CE0B2D">
        <w:t xml:space="preserve">im deutschen </w:t>
      </w:r>
      <w:r>
        <w:t xml:space="preserve">IPR </w:t>
      </w:r>
      <w:r w:rsidR="00CE0B2D">
        <w:t xml:space="preserve">nach </w:t>
      </w:r>
      <w:r>
        <w:t xml:space="preserve">dem neuen </w:t>
      </w:r>
      <w:r w:rsidR="00A54941" w:rsidRPr="00A54941">
        <w:t>Art.</w:t>
      </w:r>
      <w:r>
        <w:t> </w:t>
      </w:r>
      <w:r w:rsidR="00A54941" w:rsidRPr="00A54941">
        <w:t>17</w:t>
      </w:r>
      <w:r>
        <w:t xml:space="preserve"> Abs. 2</w:t>
      </w:r>
      <w:r w:rsidR="00A54941" w:rsidRPr="00A54941">
        <w:t xml:space="preserve"> EGBGB</w:t>
      </w:r>
    </w:p>
    <w:p w:rsidR="000E5D5D" w:rsidRDefault="000E5D5D" w:rsidP="00AE7165">
      <w:pPr>
        <w:numPr>
          <w:ilvl w:val="0"/>
          <w:numId w:val="5"/>
        </w:numPr>
      </w:pPr>
      <w:r>
        <w:t xml:space="preserve">Konkurrierende Vaterschaften im IPR </w:t>
      </w:r>
      <w:r w:rsidR="00BE6EFE">
        <w:t xml:space="preserve">nach der Rechtsprechung des </w:t>
      </w:r>
      <w:r>
        <w:t xml:space="preserve">BGH </w:t>
      </w:r>
      <w:r w:rsidR="00A8234D">
        <w:t xml:space="preserve">(zuletzt </w:t>
      </w:r>
      <w:r w:rsidR="00A8234D" w:rsidRPr="00A8234D">
        <w:rPr>
          <w:szCs w:val="24"/>
        </w:rPr>
        <w:t xml:space="preserve">BGH </w:t>
      </w:r>
      <w:r w:rsidR="00FC0201">
        <w:rPr>
          <w:szCs w:val="24"/>
        </w:rPr>
        <w:t xml:space="preserve">FamRZ </w:t>
      </w:r>
      <w:proofErr w:type="spellStart"/>
      <w:r w:rsidR="00FC0201">
        <w:t>FamRZ</w:t>
      </w:r>
      <w:proofErr w:type="spellEnd"/>
      <w:r w:rsidR="00FC0201">
        <w:t xml:space="preserve"> 2022, 624</w:t>
      </w:r>
      <w:r w:rsidR="00BE6EFE">
        <w:t>)</w:t>
      </w:r>
    </w:p>
    <w:p w:rsidR="00A8234D" w:rsidRDefault="00A8234D" w:rsidP="00AE7165">
      <w:pPr>
        <w:numPr>
          <w:ilvl w:val="0"/>
          <w:numId w:val="5"/>
        </w:numPr>
      </w:pPr>
      <w:r w:rsidRPr="00A8234D">
        <w:rPr>
          <w:szCs w:val="24"/>
        </w:rPr>
        <w:t xml:space="preserve">International-privatrechtliche Folgen einer Doppelehe für die Abstammung eines Kindes (BGH </w:t>
      </w:r>
      <w:r w:rsidR="00FC0201">
        <w:rPr>
          <w:szCs w:val="24"/>
        </w:rPr>
        <w:t xml:space="preserve">FamRZ </w:t>
      </w:r>
      <w:proofErr w:type="spellStart"/>
      <w:r w:rsidR="00FC0201">
        <w:t>FamRZ</w:t>
      </w:r>
      <w:proofErr w:type="spellEnd"/>
      <w:r w:rsidR="00FC0201">
        <w:t xml:space="preserve"> 2023, 1032</w:t>
      </w:r>
      <w:r w:rsidRPr="00A8234D">
        <w:rPr>
          <w:szCs w:val="24"/>
        </w:rPr>
        <w:t>)</w:t>
      </w:r>
    </w:p>
    <w:p w:rsidR="00A8234D" w:rsidRPr="00A8234D" w:rsidRDefault="00A8234D" w:rsidP="00AE7165">
      <w:pPr>
        <w:numPr>
          <w:ilvl w:val="0"/>
          <w:numId w:val="5"/>
        </w:numPr>
      </w:pPr>
      <w:r w:rsidRPr="00A8234D">
        <w:rPr>
          <w:szCs w:val="24"/>
        </w:rPr>
        <w:t xml:space="preserve">Gewöhnlicher Aufenthalt oder engste Verbindung als Anknüpfung für das Unterhaltsstatut (BGH </w:t>
      </w:r>
      <w:r w:rsidR="00FC0201">
        <w:rPr>
          <w:szCs w:val="24"/>
        </w:rPr>
        <w:t xml:space="preserve">FamRZ </w:t>
      </w:r>
      <w:proofErr w:type="spellStart"/>
      <w:r w:rsidR="00FC0201">
        <w:t>FamRZ</w:t>
      </w:r>
      <w:proofErr w:type="spellEnd"/>
      <w:r w:rsidR="00FC0201">
        <w:t xml:space="preserve"> 2022, 1278</w:t>
      </w:r>
      <w:r>
        <w:rPr>
          <w:szCs w:val="24"/>
        </w:rPr>
        <w:t>)</w:t>
      </w:r>
    </w:p>
    <w:p w:rsidR="00563EDE" w:rsidRDefault="003E7636" w:rsidP="00B80017">
      <w:r>
        <w:t>Studierende</w:t>
      </w:r>
      <w:r w:rsidR="00563EDE">
        <w:t xml:space="preserve">, die Interesse an einer Teilnahme haben, bitte ich um eine </w:t>
      </w:r>
      <w:r w:rsidR="00563EDE">
        <w:rPr>
          <w:b/>
          <w:bCs/>
        </w:rPr>
        <w:t>Voranmeldung per Email</w:t>
      </w:r>
      <w:r w:rsidR="00563EDE">
        <w:t xml:space="preserve"> (</w:t>
      </w:r>
      <w:r w:rsidR="00B522C4">
        <w:t xml:space="preserve">an folgende Adresse: </w:t>
      </w:r>
      <w:r w:rsidR="00563EDE" w:rsidRPr="00B522C4">
        <w:rPr>
          <w:u w:val="single"/>
        </w:rPr>
        <w:t>helms@</w:t>
      </w:r>
      <w:r w:rsidR="009F58E8" w:rsidRPr="00B522C4">
        <w:rPr>
          <w:u w:val="single"/>
        </w:rPr>
        <w:t>jura</w:t>
      </w:r>
      <w:r w:rsidR="00563EDE" w:rsidRPr="00B522C4">
        <w:rPr>
          <w:u w:val="single"/>
        </w:rPr>
        <w:t>.uni-marburg.de</w:t>
      </w:r>
      <w:r w:rsidR="00B522C4">
        <w:t xml:space="preserve">. Bitte mit der Angabe </w:t>
      </w:r>
      <w:proofErr w:type="gramStart"/>
      <w:r w:rsidR="00B522C4">
        <w:t>von Name</w:t>
      </w:r>
      <w:proofErr w:type="gramEnd"/>
      <w:r w:rsidR="00B522C4">
        <w:t>, Matrikelnummer und Handynummer</w:t>
      </w:r>
      <w:r w:rsidR="00CA32A8">
        <w:t xml:space="preserve"> sowie von ein/zwei Themen, an denen besonderes Interesse besteht</w:t>
      </w:r>
      <w:r w:rsidR="00563EDE">
        <w:t xml:space="preserve">). </w:t>
      </w:r>
    </w:p>
    <w:p w:rsidR="00391EAA" w:rsidRDefault="00391EAA"/>
    <w:p w:rsidR="00563EDE" w:rsidRDefault="00563EDE">
      <w:r>
        <w:t>Professor Dr. Tobias Helms</w:t>
      </w:r>
    </w:p>
    <w:sectPr w:rsidR="00563EDE">
      <w:headerReference w:type="even" r:id="rId7"/>
      <w:headerReference w:type="default" r:id="rId8"/>
      <w:footerReference w:type="default" r:id="rId9"/>
      <w:pgSz w:w="11906" w:h="16838" w:code="9"/>
      <w:pgMar w:top="1418" w:right="1134" w:bottom="1134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74" w:rsidRDefault="00AE5D74">
      <w:r>
        <w:separator/>
      </w:r>
    </w:p>
  </w:endnote>
  <w:endnote w:type="continuationSeparator" w:id="0">
    <w:p w:rsidR="00AE5D74" w:rsidRDefault="00AE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72" w:rsidRDefault="00907772">
    <w:pPr>
      <w:framePr w:wrap="auto" w:vAnchor="text" w:hAnchor="margin" w:xAlign="right" w:y="1"/>
      <w:rPr>
        <w:rStyle w:val="Seitenzahl"/>
      </w:rPr>
    </w:pPr>
  </w:p>
  <w:p w:rsidR="00907772" w:rsidRDefault="0090777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74" w:rsidRDefault="00AE5D74">
      <w:r>
        <w:separator/>
      </w:r>
    </w:p>
  </w:footnote>
  <w:footnote w:type="continuationSeparator" w:id="0">
    <w:p w:rsidR="00AE5D74" w:rsidRDefault="00AE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72" w:rsidRDefault="0090777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07772" w:rsidRDefault="009077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72" w:rsidRDefault="0090777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22D7">
      <w:rPr>
        <w:rStyle w:val="Seitenzahl"/>
        <w:noProof/>
      </w:rPr>
      <w:t>2</w:t>
    </w:r>
    <w:r>
      <w:rPr>
        <w:rStyle w:val="Seitenzahl"/>
      </w:rPr>
      <w:fldChar w:fldCharType="end"/>
    </w:r>
  </w:p>
  <w:p w:rsidR="00907772" w:rsidRDefault="009077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B3"/>
    <w:multiLevelType w:val="hybridMultilevel"/>
    <w:tmpl w:val="2FA2AC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76333"/>
    <w:multiLevelType w:val="multilevel"/>
    <w:tmpl w:val="55E80B90"/>
    <w:lvl w:ilvl="0">
      <w:start w:val="1"/>
      <w:numFmt w:val="upperRoman"/>
      <w:pStyle w:val="Diss6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lvlRestart w:val="0"/>
      <w:pStyle w:val="Diss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Restart w:val="0"/>
      <w:pStyle w:val="Diss5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Restart w:val="0"/>
      <w:suff w:val="nothing"/>
      <w:lvlText w:val="%4)"/>
      <w:lvlJc w:val="left"/>
      <w:pPr>
        <w:ind w:left="567" w:hanging="567"/>
      </w:pPr>
    </w:lvl>
    <w:lvl w:ilvl="4">
      <w:start w:val="1"/>
      <w:numFmt w:val="decimal"/>
      <w:pStyle w:val="Diss5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pStyle w:val="Diss6"/>
      <w:suff w:val="nothing"/>
      <w:lvlText w:val="aa)"/>
      <w:lvlJc w:val="left"/>
      <w:pPr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6F24E5A"/>
    <w:multiLevelType w:val="singleLevel"/>
    <w:tmpl w:val="973EC406"/>
    <w:lvl w:ilvl="0">
      <w:start w:val="1"/>
      <w:numFmt w:val="lowerLetter"/>
      <w:pStyle w:val="Diss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E23367"/>
    <w:multiLevelType w:val="singleLevel"/>
    <w:tmpl w:val="1CAA2522"/>
    <w:lvl w:ilvl="0">
      <w:start w:val="1"/>
      <w:numFmt w:val="decimal"/>
      <w:pStyle w:val="Aufzhlung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C30607"/>
    <w:multiLevelType w:val="hybridMultilevel"/>
    <w:tmpl w:val="E000FA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14B71"/>
    <w:multiLevelType w:val="hybridMultilevel"/>
    <w:tmpl w:val="2FA2AC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5254A"/>
    <w:multiLevelType w:val="hybridMultilevel"/>
    <w:tmpl w:val="9488D1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12259"/>
    <w:multiLevelType w:val="multilevel"/>
    <w:tmpl w:val="FC1C55D6"/>
    <w:lvl w:ilvl="0">
      <w:start w:val="1"/>
      <w:numFmt w:val="decimal"/>
      <w:pStyle w:val="berschrift1"/>
      <w:lvlText w:val="§ %1 "/>
      <w:lvlJc w:val="left"/>
      <w:pPr>
        <w:tabs>
          <w:tab w:val="num" w:pos="720"/>
        </w:tabs>
        <w:ind w:left="0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567"/>
        </w:tabs>
        <w:ind w:left="567" w:hanging="567"/>
      </w:pPr>
    </w:lvl>
    <w:lvl w:ilvl="4">
      <w:start w:val="27"/>
      <w:numFmt w:val="lowerLetter"/>
      <w:pStyle w:val="berschrift5"/>
      <w:lvlText w:val="%5)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pStyle w:val="berschrift6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pStyle w:val="berschrift7"/>
      <w:lvlText w:val="(%7)"/>
      <w:lvlJc w:val="left"/>
      <w:pPr>
        <w:tabs>
          <w:tab w:val="num" w:pos="567"/>
        </w:tabs>
        <w:ind w:left="567" w:hanging="567"/>
      </w:pPr>
    </w:lvl>
    <w:lvl w:ilvl="7">
      <w:start w:val="27"/>
      <w:numFmt w:val="lowerLetter"/>
      <w:pStyle w:val="berschrift8"/>
      <w:lvlText w:val="(%8)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BB"/>
    <w:rsid w:val="00001F94"/>
    <w:rsid w:val="000021F2"/>
    <w:rsid w:val="00002A0D"/>
    <w:rsid w:val="00003CBB"/>
    <w:rsid w:val="0000475C"/>
    <w:rsid w:val="000056EA"/>
    <w:rsid w:val="00012BBC"/>
    <w:rsid w:val="000168A7"/>
    <w:rsid w:val="00020530"/>
    <w:rsid w:val="00020BA6"/>
    <w:rsid w:val="00030497"/>
    <w:rsid w:val="00035B83"/>
    <w:rsid w:val="00037F3F"/>
    <w:rsid w:val="00040AD5"/>
    <w:rsid w:val="00042013"/>
    <w:rsid w:val="000424F8"/>
    <w:rsid w:val="000515BE"/>
    <w:rsid w:val="00071428"/>
    <w:rsid w:val="00073C15"/>
    <w:rsid w:val="00080D02"/>
    <w:rsid w:val="00081404"/>
    <w:rsid w:val="00086503"/>
    <w:rsid w:val="000873F7"/>
    <w:rsid w:val="000A73B1"/>
    <w:rsid w:val="000A7624"/>
    <w:rsid w:val="000A771E"/>
    <w:rsid w:val="000B0D77"/>
    <w:rsid w:val="000B5FB9"/>
    <w:rsid w:val="000C18F2"/>
    <w:rsid w:val="000C282E"/>
    <w:rsid w:val="000C3485"/>
    <w:rsid w:val="000C62D5"/>
    <w:rsid w:val="000C65D7"/>
    <w:rsid w:val="000D083C"/>
    <w:rsid w:val="000D6543"/>
    <w:rsid w:val="000D744C"/>
    <w:rsid w:val="000E47A0"/>
    <w:rsid w:val="000E5D5D"/>
    <w:rsid w:val="000E5D75"/>
    <w:rsid w:val="000F2DBD"/>
    <w:rsid w:val="000F7174"/>
    <w:rsid w:val="001052B3"/>
    <w:rsid w:val="0010700D"/>
    <w:rsid w:val="00107935"/>
    <w:rsid w:val="001133BE"/>
    <w:rsid w:val="00113B8B"/>
    <w:rsid w:val="0011555C"/>
    <w:rsid w:val="001213A8"/>
    <w:rsid w:val="0012299B"/>
    <w:rsid w:val="001245E6"/>
    <w:rsid w:val="00136122"/>
    <w:rsid w:val="0014350E"/>
    <w:rsid w:val="0014494B"/>
    <w:rsid w:val="001542A3"/>
    <w:rsid w:val="00161214"/>
    <w:rsid w:val="0016494E"/>
    <w:rsid w:val="00165455"/>
    <w:rsid w:val="00173DAC"/>
    <w:rsid w:val="00174A5E"/>
    <w:rsid w:val="00181220"/>
    <w:rsid w:val="00183006"/>
    <w:rsid w:val="00186C6A"/>
    <w:rsid w:val="0019074E"/>
    <w:rsid w:val="00191325"/>
    <w:rsid w:val="001917A5"/>
    <w:rsid w:val="00191AE3"/>
    <w:rsid w:val="00194CD5"/>
    <w:rsid w:val="001A485F"/>
    <w:rsid w:val="001A5D9C"/>
    <w:rsid w:val="001A5EB3"/>
    <w:rsid w:val="001A7881"/>
    <w:rsid w:val="001B3F0F"/>
    <w:rsid w:val="001B41A2"/>
    <w:rsid w:val="001C1D1E"/>
    <w:rsid w:val="001C273F"/>
    <w:rsid w:val="001C6E49"/>
    <w:rsid w:val="001D0994"/>
    <w:rsid w:val="001D0AA4"/>
    <w:rsid w:val="001E0DAC"/>
    <w:rsid w:val="001E31C8"/>
    <w:rsid w:val="001F12CD"/>
    <w:rsid w:val="001F28C8"/>
    <w:rsid w:val="00204114"/>
    <w:rsid w:val="00206ABA"/>
    <w:rsid w:val="002165A7"/>
    <w:rsid w:val="00216F94"/>
    <w:rsid w:val="00221E10"/>
    <w:rsid w:val="0022593F"/>
    <w:rsid w:val="002271A4"/>
    <w:rsid w:val="00241038"/>
    <w:rsid w:val="0024362C"/>
    <w:rsid w:val="00247D92"/>
    <w:rsid w:val="00252A27"/>
    <w:rsid w:val="00253688"/>
    <w:rsid w:val="002541C4"/>
    <w:rsid w:val="0027118A"/>
    <w:rsid w:val="00271ED1"/>
    <w:rsid w:val="00281F48"/>
    <w:rsid w:val="002826C0"/>
    <w:rsid w:val="0028477C"/>
    <w:rsid w:val="0028498E"/>
    <w:rsid w:val="002860A2"/>
    <w:rsid w:val="00296ABE"/>
    <w:rsid w:val="002972F9"/>
    <w:rsid w:val="002A5C93"/>
    <w:rsid w:val="002B3112"/>
    <w:rsid w:val="002C0FE1"/>
    <w:rsid w:val="002C3EDA"/>
    <w:rsid w:val="002C57DB"/>
    <w:rsid w:val="002D3A9E"/>
    <w:rsid w:val="002E0CAB"/>
    <w:rsid w:val="002E3B57"/>
    <w:rsid w:val="002F0AB5"/>
    <w:rsid w:val="002F6554"/>
    <w:rsid w:val="00305CCA"/>
    <w:rsid w:val="00311EB4"/>
    <w:rsid w:val="00315864"/>
    <w:rsid w:val="00320FCB"/>
    <w:rsid w:val="00324A46"/>
    <w:rsid w:val="0033426D"/>
    <w:rsid w:val="00336C5E"/>
    <w:rsid w:val="00343946"/>
    <w:rsid w:val="00344B8A"/>
    <w:rsid w:val="00350965"/>
    <w:rsid w:val="00350ED4"/>
    <w:rsid w:val="00365906"/>
    <w:rsid w:val="00372981"/>
    <w:rsid w:val="00383F0F"/>
    <w:rsid w:val="00391EAA"/>
    <w:rsid w:val="003929CD"/>
    <w:rsid w:val="003B032C"/>
    <w:rsid w:val="003B6B89"/>
    <w:rsid w:val="003C01BA"/>
    <w:rsid w:val="003C24C0"/>
    <w:rsid w:val="003C6E8A"/>
    <w:rsid w:val="003D2E7A"/>
    <w:rsid w:val="003E0252"/>
    <w:rsid w:val="003E302C"/>
    <w:rsid w:val="003E7636"/>
    <w:rsid w:val="003F53E2"/>
    <w:rsid w:val="003F5C86"/>
    <w:rsid w:val="004008FD"/>
    <w:rsid w:val="004022DC"/>
    <w:rsid w:val="00402D1C"/>
    <w:rsid w:val="004105A8"/>
    <w:rsid w:val="004234B2"/>
    <w:rsid w:val="0042568F"/>
    <w:rsid w:val="00425939"/>
    <w:rsid w:val="00433117"/>
    <w:rsid w:val="00443234"/>
    <w:rsid w:val="00444535"/>
    <w:rsid w:val="00446457"/>
    <w:rsid w:val="00450813"/>
    <w:rsid w:val="00460431"/>
    <w:rsid w:val="00465A0E"/>
    <w:rsid w:val="0046700A"/>
    <w:rsid w:val="0047613F"/>
    <w:rsid w:val="004763AE"/>
    <w:rsid w:val="004801D9"/>
    <w:rsid w:val="004822D7"/>
    <w:rsid w:val="00487773"/>
    <w:rsid w:val="00490150"/>
    <w:rsid w:val="00490403"/>
    <w:rsid w:val="00494B72"/>
    <w:rsid w:val="004A3152"/>
    <w:rsid w:val="004A3977"/>
    <w:rsid w:val="004A4FFE"/>
    <w:rsid w:val="004A5D21"/>
    <w:rsid w:val="004D2734"/>
    <w:rsid w:val="004D3B02"/>
    <w:rsid w:val="004D67CA"/>
    <w:rsid w:val="004E3AF5"/>
    <w:rsid w:val="004F1063"/>
    <w:rsid w:val="004F124B"/>
    <w:rsid w:val="004F1A18"/>
    <w:rsid w:val="00504408"/>
    <w:rsid w:val="005138AE"/>
    <w:rsid w:val="00517738"/>
    <w:rsid w:val="005202A5"/>
    <w:rsid w:val="00521C65"/>
    <w:rsid w:val="005226BA"/>
    <w:rsid w:val="00526709"/>
    <w:rsid w:val="005275E8"/>
    <w:rsid w:val="00527D15"/>
    <w:rsid w:val="00546514"/>
    <w:rsid w:val="00563933"/>
    <w:rsid w:val="00563EDE"/>
    <w:rsid w:val="005709CB"/>
    <w:rsid w:val="005715D7"/>
    <w:rsid w:val="0057696E"/>
    <w:rsid w:val="00581961"/>
    <w:rsid w:val="00581D85"/>
    <w:rsid w:val="005856CC"/>
    <w:rsid w:val="00593709"/>
    <w:rsid w:val="0059394B"/>
    <w:rsid w:val="00594948"/>
    <w:rsid w:val="005A1259"/>
    <w:rsid w:val="005A1938"/>
    <w:rsid w:val="005A5FA4"/>
    <w:rsid w:val="005B1975"/>
    <w:rsid w:val="005B3174"/>
    <w:rsid w:val="005D096C"/>
    <w:rsid w:val="005D15DA"/>
    <w:rsid w:val="005D2AF0"/>
    <w:rsid w:val="005D5331"/>
    <w:rsid w:val="005E0B96"/>
    <w:rsid w:val="005E380D"/>
    <w:rsid w:val="005E4FC3"/>
    <w:rsid w:val="005E66DD"/>
    <w:rsid w:val="005F3D1F"/>
    <w:rsid w:val="005F4108"/>
    <w:rsid w:val="005F4C63"/>
    <w:rsid w:val="006053FC"/>
    <w:rsid w:val="00605497"/>
    <w:rsid w:val="006077C8"/>
    <w:rsid w:val="00607EF5"/>
    <w:rsid w:val="006125D6"/>
    <w:rsid w:val="00614E26"/>
    <w:rsid w:val="0061728E"/>
    <w:rsid w:val="0062302C"/>
    <w:rsid w:val="0063460F"/>
    <w:rsid w:val="00637DC5"/>
    <w:rsid w:val="006566CF"/>
    <w:rsid w:val="00671888"/>
    <w:rsid w:val="00675CB6"/>
    <w:rsid w:val="00676D10"/>
    <w:rsid w:val="00676DEA"/>
    <w:rsid w:val="00687927"/>
    <w:rsid w:val="00691BD7"/>
    <w:rsid w:val="00692355"/>
    <w:rsid w:val="00692AD5"/>
    <w:rsid w:val="00692BB0"/>
    <w:rsid w:val="006D260E"/>
    <w:rsid w:val="006D7222"/>
    <w:rsid w:val="006E1C03"/>
    <w:rsid w:val="006E2BBE"/>
    <w:rsid w:val="006E36A1"/>
    <w:rsid w:val="006E630A"/>
    <w:rsid w:val="006E63A9"/>
    <w:rsid w:val="006E6E3E"/>
    <w:rsid w:val="006E7BDB"/>
    <w:rsid w:val="00702115"/>
    <w:rsid w:val="0070527D"/>
    <w:rsid w:val="0070623F"/>
    <w:rsid w:val="0071064A"/>
    <w:rsid w:val="0071112E"/>
    <w:rsid w:val="00717F51"/>
    <w:rsid w:val="007217C9"/>
    <w:rsid w:val="00722301"/>
    <w:rsid w:val="00731286"/>
    <w:rsid w:val="00734597"/>
    <w:rsid w:val="00734718"/>
    <w:rsid w:val="0074069F"/>
    <w:rsid w:val="00741F0E"/>
    <w:rsid w:val="0074361D"/>
    <w:rsid w:val="0074398E"/>
    <w:rsid w:val="00744CFB"/>
    <w:rsid w:val="0075492A"/>
    <w:rsid w:val="00775C08"/>
    <w:rsid w:val="007C3FCA"/>
    <w:rsid w:val="007C7E19"/>
    <w:rsid w:val="007D0D92"/>
    <w:rsid w:val="007D4885"/>
    <w:rsid w:val="007F265B"/>
    <w:rsid w:val="007F4BE2"/>
    <w:rsid w:val="00806E10"/>
    <w:rsid w:val="00816CB3"/>
    <w:rsid w:val="0082297B"/>
    <w:rsid w:val="00822FA1"/>
    <w:rsid w:val="0082647D"/>
    <w:rsid w:val="0083708E"/>
    <w:rsid w:val="008454BB"/>
    <w:rsid w:val="008477AC"/>
    <w:rsid w:val="008479C1"/>
    <w:rsid w:val="00850B30"/>
    <w:rsid w:val="00861A27"/>
    <w:rsid w:val="00862D21"/>
    <w:rsid w:val="00863B53"/>
    <w:rsid w:val="0086592A"/>
    <w:rsid w:val="00874F2D"/>
    <w:rsid w:val="00886134"/>
    <w:rsid w:val="008875EE"/>
    <w:rsid w:val="00891EAD"/>
    <w:rsid w:val="00893064"/>
    <w:rsid w:val="00897DBF"/>
    <w:rsid w:val="008A1E2B"/>
    <w:rsid w:val="008A7E1B"/>
    <w:rsid w:val="008B319B"/>
    <w:rsid w:val="008C0AD3"/>
    <w:rsid w:val="008C36C7"/>
    <w:rsid w:val="008D0032"/>
    <w:rsid w:val="008E5194"/>
    <w:rsid w:val="008F072A"/>
    <w:rsid w:val="008F7685"/>
    <w:rsid w:val="009030B6"/>
    <w:rsid w:val="00907772"/>
    <w:rsid w:val="00920066"/>
    <w:rsid w:val="00935B61"/>
    <w:rsid w:val="00937430"/>
    <w:rsid w:val="00955E07"/>
    <w:rsid w:val="00956458"/>
    <w:rsid w:val="0095665C"/>
    <w:rsid w:val="00956B08"/>
    <w:rsid w:val="00957627"/>
    <w:rsid w:val="009709A7"/>
    <w:rsid w:val="009712AC"/>
    <w:rsid w:val="00972EB3"/>
    <w:rsid w:val="00973E27"/>
    <w:rsid w:val="00981E63"/>
    <w:rsid w:val="00991924"/>
    <w:rsid w:val="009925C0"/>
    <w:rsid w:val="00994210"/>
    <w:rsid w:val="00997BA1"/>
    <w:rsid w:val="009A5E81"/>
    <w:rsid w:val="009C1305"/>
    <w:rsid w:val="009C4E18"/>
    <w:rsid w:val="009C6527"/>
    <w:rsid w:val="009D2E58"/>
    <w:rsid w:val="009D57CB"/>
    <w:rsid w:val="009E1D02"/>
    <w:rsid w:val="009E54D4"/>
    <w:rsid w:val="009F2615"/>
    <w:rsid w:val="009F58E8"/>
    <w:rsid w:val="00A02333"/>
    <w:rsid w:val="00A05EC3"/>
    <w:rsid w:val="00A0608A"/>
    <w:rsid w:val="00A07449"/>
    <w:rsid w:val="00A07EAF"/>
    <w:rsid w:val="00A101F0"/>
    <w:rsid w:val="00A2588C"/>
    <w:rsid w:val="00A27544"/>
    <w:rsid w:val="00A278C9"/>
    <w:rsid w:val="00A3065A"/>
    <w:rsid w:val="00A3285A"/>
    <w:rsid w:val="00A33B17"/>
    <w:rsid w:val="00A351DA"/>
    <w:rsid w:val="00A37DD0"/>
    <w:rsid w:val="00A4050E"/>
    <w:rsid w:val="00A448E5"/>
    <w:rsid w:val="00A50561"/>
    <w:rsid w:val="00A54941"/>
    <w:rsid w:val="00A624BF"/>
    <w:rsid w:val="00A66774"/>
    <w:rsid w:val="00A74658"/>
    <w:rsid w:val="00A8234D"/>
    <w:rsid w:val="00A8330F"/>
    <w:rsid w:val="00A84BD4"/>
    <w:rsid w:val="00A87623"/>
    <w:rsid w:val="00A901B5"/>
    <w:rsid w:val="00A933A8"/>
    <w:rsid w:val="00AA300B"/>
    <w:rsid w:val="00AB623A"/>
    <w:rsid w:val="00AC7A38"/>
    <w:rsid w:val="00AD1F9E"/>
    <w:rsid w:val="00AD3E4E"/>
    <w:rsid w:val="00AE1E3C"/>
    <w:rsid w:val="00AE5D74"/>
    <w:rsid w:val="00AE5E9A"/>
    <w:rsid w:val="00AE6294"/>
    <w:rsid w:val="00AE6C7B"/>
    <w:rsid w:val="00AE7165"/>
    <w:rsid w:val="00AF60EB"/>
    <w:rsid w:val="00AF735E"/>
    <w:rsid w:val="00B20E76"/>
    <w:rsid w:val="00B27690"/>
    <w:rsid w:val="00B31334"/>
    <w:rsid w:val="00B32D5D"/>
    <w:rsid w:val="00B37C8E"/>
    <w:rsid w:val="00B37D24"/>
    <w:rsid w:val="00B4535F"/>
    <w:rsid w:val="00B475B6"/>
    <w:rsid w:val="00B50051"/>
    <w:rsid w:val="00B522C4"/>
    <w:rsid w:val="00B6380E"/>
    <w:rsid w:val="00B64144"/>
    <w:rsid w:val="00B70BA2"/>
    <w:rsid w:val="00B73459"/>
    <w:rsid w:val="00B74D3C"/>
    <w:rsid w:val="00B75D18"/>
    <w:rsid w:val="00B7661C"/>
    <w:rsid w:val="00B80017"/>
    <w:rsid w:val="00B80958"/>
    <w:rsid w:val="00B80E33"/>
    <w:rsid w:val="00B811FD"/>
    <w:rsid w:val="00B87699"/>
    <w:rsid w:val="00BA0A00"/>
    <w:rsid w:val="00BA1959"/>
    <w:rsid w:val="00BA27F3"/>
    <w:rsid w:val="00BB3EED"/>
    <w:rsid w:val="00BC6D2F"/>
    <w:rsid w:val="00BD1230"/>
    <w:rsid w:val="00BD7324"/>
    <w:rsid w:val="00BD7995"/>
    <w:rsid w:val="00BE2381"/>
    <w:rsid w:val="00BE6EFE"/>
    <w:rsid w:val="00BE73A5"/>
    <w:rsid w:val="00BF4E5C"/>
    <w:rsid w:val="00C05623"/>
    <w:rsid w:val="00C06450"/>
    <w:rsid w:val="00C21F0B"/>
    <w:rsid w:val="00C335B3"/>
    <w:rsid w:val="00C459D0"/>
    <w:rsid w:val="00C461CE"/>
    <w:rsid w:val="00C529A7"/>
    <w:rsid w:val="00C529C5"/>
    <w:rsid w:val="00C54AEB"/>
    <w:rsid w:val="00C5517A"/>
    <w:rsid w:val="00C64FA5"/>
    <w:rsid w:val="00C75C5F"/>
    <w:rsid w:val="00C77843"/>
    <w:rsid w:val="00C8473B"/>
    <w:rsid w:val="00C946A8"/>
    <w:rsid w:val="00C96574"/>
    <w:rsid w:val="00CA2114"/>
    <w:rsid w:val="00CA32A8"/>
    <w:rsid w:val="00CA71BA"/>
    <w:rsid w:val="00CA7B0E"/>
    <w:rsid w:val="00CB7664"/>
    <w:rsid w:val="00CC78AA"/>
    <w:rsid w:val="00CD0271"/>
    <w:rsid w:val="00CD194B"/>
    <w:rsid w:val="00CD2EED"/>
    <w:rsid w:val="00CD3D56"/>
    <w:rsid w:val="00CD6370"/>
    <w:rsid w:val="00CD796C"/>
    <w:rsid w:val="00CE0B2D"/>
    <w:rsid w:val="00CE4BE2"/>
    <w:rsid w:val="00CF404E"/>
    <w:rsid w:val="00CF6950"/>
    <w:rsid w:val="00CF7078"/>
    <w:rsid w:val="00D01E99"/>
    <w:rsid w:val="00D037BD"/>
    <w:rsid w:val="00D0584B"/>
    <w:rsid w:val="00D0675E"/>
    <w:rsid w:val="00D102A2"/>
    <w:rsid w:val="00D15951"/>
    <w:rsid w:val="00D175FF"/>
    <w:rsid w:val="00D265D9"/>
    <w:rsid w:val="00D34FDE"/>
    <w:rsid w:val="00D40A7D"/>
    <w:rsid w:val="00D436E3"/>
    <w:rsid w:val="00D469AE"/>
    <w:rsid w:val="00D5479C"/>
    <w:rsid w:val="00D560A4"/>
    <w:rsid w:val="00D61804"/>
    <w:rsid w:val="00D65DE2"/>
    <w:rsid w:val="00D67FDC"/>
    <w:rsid w:val="00D71DA2"/>
    <w:rsid w:val="00D75011"/>
    <w:rsid w:val="00D767B2"/>
    <w:rsid w:val="00D82063"/>
    <w:rsid w:val="00D84296"/>
    <w:rsid w:val="00D90404"/>
    <w:rsid w:val="00D97363"/>
    <w:rsid w:val="00DA6302"/>
    <w:rsid w:val="00DA6A44"/>
    <w:rsid w:val="00DB1811"/>
    <w:rsid w:val="00DB183A"/>
    <w:rsid w:val="00DB1FE0"/>
    <w:rsid w:val="00DB68D1"/>
    <w:rsid w:val="00DC098D"/>
    <w:rsid w:val="00DC1191"/>
    <w:rsid w:val="00DC76FC"/>
    <w:rsid w:val="00DD2340"/>
    <w:rsid w:val="00DD3AC2"/>
    <w:rsid w:val="00DE0B96"/>
    <w:rsid w:val="00DE4737"/>
    <w:rsid w:val="00DF3CE3"/>
    <w:rsid w:val="00E1240E"/>
    <w:rsid w:val="00E12733"/>
    <w:rsid w:val="00E137B3"/>
    <w:rsid w:val="00E156F8"/>
    <w:rsid w:val="00E206BD"/>
    <w:rsid w:val="00E23ED9"/>
    <w:rsid w:val="00E25F14"/>
    <w:rsid w:val="00E40537"/>
    <w:rsid w:val="00E45401"/>
    <w:rsid w:val="00E45A2A"/>
    <w:rsid w:val="00E51C9F"/>
    <w:rsid w:val="00E53B97"/>
    <w:rsid w:val="00E56CFA"/>
    <w:rsid w:val="00E609FF"/>
    <w:rsid w:val="00E61D2E"/>
    <w:rsid w:val="00E74040"/>
    <w:rsid w:val="00E8654A"/>
    <w:rsid w:val="00E9666B"/>
    <w:rsid w:val="00EA3DBD"/>
    <w:rsid w:val="00EA4386"/>
    <w:rsid w:val="00EA564F"/>
    <w:rsid w:val="00EA6D7F"/>
    <w:rsid w:val="00EC0E4F"/>
    <w:rsid w:val="00EC5B2A"/>
    <w:rsid w:val="00ED25D2"/>
    <w:rsid w:val="00ED3082"/>
    <w:rsid w:val="00ED6289"/>
    <w:rsid w:val="00ED68DE"/>
    <w:rsid w:val="00EE5E97"/>
    <w:rsid w:val="00EE6E86"/>
    <w:rsid w:val="00EF15A1"/>
    <w:rsid w:val="00EF1815"/>
    <w:rsid w:val="00EF24F7"/>
    <w:rsid w:val="00EF29E1"/>
    <w:rsid w:val="00EF2BC2"/>
    <w:rsid w:val="00F06A67"/>
    <w:rsid w:val="00F12476"/>
    <w:rsid w:val="00F12657"/>
    <w:rsid w:val="00F216F7"/>
    <w:rsid w:val="00F227D6"/>
    <w:rsid w:val="00F22FD3"/>
    <w:rsid w:val="00F257E6"/>
    <w:rsid w:val="00F34F6E"/>
    <w:rsid w:val="00F35DAB"/>
    <w:rsid w:val="00F404B4"/>
    <w:rsid w:val="00F42764"/>
    <w:rsid w:val="00F46098"/>
    <w:rsid w:val="00F46F79"/>
    <w:rsid w:val="00F5208C"/>
    <w:rsid w:val="00F5354A"/>
    <w:rsid w:val="00F56DDB"/>
    <w:rsid w:val="00F629E0"/>
    <w:rsid w:val="00F669E6"/>
    <w:rsid w:val="00F702DE"/>
    <w:rsid w:val="00F72876"/>
    <w:rsid w:val="00F76C16"/>
    <w:rsid w:val="00F77961"/>
    <w:rsid w:val="00F81726"/>
    <w:rsid w:val="00F83C84"/>
    <w:rsid w:val="00F87F5D"/>
    <w:rsid w:val="00F90E35"/>
    <w:rsid w:val="00F96DEF"/>
    <w:rsid w:val="00F97167"/>
    <w:rsid w:val="00FA62FD"/>
    <w:rsid w:val="00FB08C2"/>
    <w:rsid w:val="00FC0201"/>
    <w:rsid w:val="00FC162F"/>
    <w:rsid w:val="00FC5349"/>
    <w:rsid w:val="00FD1942"/>
    <w:rsid w:val="00FE1673"/>
    <w:rsid w:val="00FE433B"/>
    <w:rsid w:val="00FE5E4A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28038"/>
  <w15:chartTrackingRefBased/>
  <w15:docId w15:val="{9D116474-6F46-440A-BBDB-084BFE3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after="120"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2"/>
      </w:numPr>
      <w:spacing w:before="480" w:after="240"/>
      <w:jc w:val="center"/>
      <w:outlineLvl w:val="0"/>
    </w:pPr>
    <w:rPr>
      <w:rFonts w:ascii="Arial" w:hAnsi="Arial"/>
      <w:kern w:val="28"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2"/>
      </w:numPr>
      <w:spacing w:before="240" w:after="60"/>
      <w:jc w:val="lef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0" w:after="0" w:line="240" w:lineRule="auto"/>
      <w:jc w:val="center"/>
      <w:outlineLvl w:val="8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spiel">
    <w:name w:val="Beispiel"/>
    <w:basedOn w:val="Standard"/>
    <w:pPr>
      <w:shd w:val="pct10" w:color="auto" w:fill="auto"/>
      <w:spacing w:line="240" w:lineRule="auto"/>
    </w:pPr>
  </w:style>
  <w:style w:type="paragraph" w:customStyle="1" w:styleId="Vertiefung">
    <w:name w:val="Vertiefung"/>
    <w:basedOn w:val="Standard"/>
    <w:autoRedefine/>
    <w:pPr>
      <w:spacing w:line="240" w:lineRule="auto"/>
    </w:pPr>
    <w:rPr>
      <w:b/>
      <w:bCs/>
      <w:sz w:val="20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customStyle="1" w:styleId="Engdruck">
    <w:name w:val="Engdruck"/>
    <w:basedOn w:val="Standard"/>
    <w:autoRedefine/>
    <w:pPr>
      <w:spacing w:before="0" w:line="240" w:lineRule="auto"/>
    </w:pPr>
    <w:rPr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486"/>
      </w:tabs>
      <w:spacing w:after="0"/>
      <w:jc w:val="left"/>
    </w:pPr>
    <w:rPr>
      <w:smallCaps/>
      <w:sz w:val="20"/>
    </w:rPr>
  </w:style>
  <w:style w:type="paragraph" w:styleId="Titel">
    <w:name w:val="Title"/>
    <w:basedOn w:val="Standard"/>
    <w:qFormat/>
    <w:pPr>
      <w:spacing w:before="0" w:after="0" w:line="240" w:lineRule="auto"/>
      <w:jc w:val="center"/>
    </w:pPr>
    <w:rPr>
      <w:b/>
      <w:sz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09"/>
        <w:tab w:val="right" w:leader="dot" w:pos="9486"/>
      </w:tabs>
      <w:spacing w:before="0" w:after="0"/>
      <w:ind w:left="426"/>
      <w:jc w:val="left"/>
    </w:pPr>
    <w:rPr>
      <w:sz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993"/>
        <w:tab w:val="right" w:leader="dot" w:pos="9486"/>
      </w:tabs>
      <w:spacing w:before="0" w:after="0"/>
      <w:ind w:left="709"/>
      <w:jc w:val="left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276"/>
        <w:tab w:val="right" w:leader="dot" w:pos="9486"/>
      </w:tabs>
      <w:spacing w:before="0" w:after="0"/>
      <w:ind w:left="993"/>
      <w:jc w:val="left"/>
    </w:pPr>
    <w:rPr>
      <w:sz w:val="18"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1560"/>
        <w:tab w:val="right" w:leader="dot" w:pos="9486"/>
      </w:tabs>
      <w:spacing w:before="0" w:after="0"/>
      <w:ind w:left="1276"/>
      <w:jc w:val="left"/>
    </w:pPr>
    <w:rPr>
      <w:sz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left" w:pos="1843"/>
        <w:tab w:val="right" w:leader="dot" w:pos="9486"/>
      </w:tabs>
      <w:spacing w:before="0" w:after="0"/>
      <w:ind w:left="1560"/>
      <w:jc w:val="left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left" w:pos="2127"/>
        <w:tab w:val="right" w:leader="dot" w:pos="9486"/>
      </w:tabs>
      <w:spacing w:before="0" w:after="0"/>
      <w:ind w:left="1843"/>
      <w:jc w:val="left"/>
    </w:pPr>
    <w:rPr>
      <w:sz w:val="18"/>
    </w:rPr>
  </w:style>
  <w:style w:type="paragraph" w:styleId="Verzeichnis8">
    <w:name w:val="toc 8"/>
    <w:basedOn w:val="Standard"/>
    <w:next w:val="Standard"/>
    <w:autoRedefine/>
    <w:semiHidden/>
    <w:pPr>
      <w:spacing w:before="0" w:after="0"/>
      <w:ind w:left="1680"/>
      <w:jc w:val="left"/>
    </w:pPr>
    <w:rPr>
      <w:sz w:val="18"/>
    </w:rPr>
  </w:style>
  <w:style w:type="paragraph" w:styleId="Verzeichnis9">
    <w:name w:val="toc 9"/>
    <w:basedOn w:val="Standard"/>
    <w:next w:val="Standard"/>
    <w:autoRedefine/>
    <w:semiHidden/>
    <w:pPr>
      <w:spacing w:before="0" w:after="0"/>
      <w:ind w:left="1920"/>
      <w:jc w:val="left"/>
    </w:pPr>
    <w:rPr>
      <w:sz w:val="18"/>
    </w:rPr>
  </w:style>
  <w:style w:type="paragraph" w:styleId="Funotentext">
    <w:name w:val="footnote text"/>
    <w:aliases w:val="FA Fußnotentext"/>
    <w:basedOn w:val="Standard"/>
    <w:semiHidden/>
    <w:pPr>
      <w:spacing w:before="0" w:after="0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bCs/>
    </w:rPr>
  </w:style>
  <w:style w:type="paragraph" w:styleId="Textkrper2">
    <w:name w:val="Body Text 2"/>
    <w:basedOn w:val="Standard"/>
    <w:pPr>
      <w:spacing w:before="0" w:after="0" w:line="240" w:lineRule="auto"/>
    </w:pPr>
    <w:rPr>
      <w:b/>
    </w:rPr>
  </w:style>
  <w:style w:type="paragraph" w:styleId="Textkrper3">
    <w:name w:val="Body Text 3"/>
    <w:basedOn w:val="Standard"/>
    <w:rPr>
      <w:i/>
      <w:iCs/>
    </w:rPr>
  </w:style>
  <w:style w:type="paragraph" w:styleId="Endnotentext">
    <w:name w:val="endnote text"/>
    <w:basedOn w:val="Standard"/>
    <w:semiHidden/>
    <w:pPr>
      <w:spacing w:after="0"/>
    </w:pPr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-Zeileneinzug">
    <w:name w:val="Body Text Indent"/>
    <w:basedOn w:val="Standard"/>
    <w:pPr>
      <w:ind w:left="708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styleId="Textkrper-Einzug2">
    <w:name w:val="Body Text Indent 2"/>
    <w:basedOn w:val="Standard"/>
    <w:pPr>
      <w:ind w:left="360"/>
    </w:pPr>
    <w:rPr>
      <w:b/>
      <w:bCs/>
    </w:rPr>
  </w:style>
  <w:style w:type="paragraph" w:customStyle="1" w:styleId="Diss2">
    <w:name w:val="Diss.2"/>
    <w:basedOn w:val="berschrift2"/>
    <w:pPr>
      <w:widowControl w:val="0"/>
      <w:numPr>
        <w:numId w:val="3"/>
      </w:numPr>
      <w:spacing w:line="240" w:lineRule="auto"/>
      <w:jc w:val="both"/>
      <w:outlineLvl w:val="9"/>
    </w:pPr>
    <w:rPr>
      <w:sz w:val="20"/>
    </w:rPr>
  </w:style>
  <w:style w:type="paragraph" w:customStyle="1" w:styleId="Diss3">
    <w:name w:val="Diss.3"/>
    <w:basedOn w:val="berschrift3"/>
    <w:pPr>
      <w:numPr>
        <w:ilvl w:val="0"/>
        <w:numId w:val="0"/>
      </w:numPr>
      <w:tabs>
        <w:tab w:val="num" w:pos="567"/>
      </w:tabs>
      <w:spacing w:line="240" w:lineRule="auto"/>
      <w:ind w:left="567" w:hanging="567"/>
      <w:outlineLvl w:val="9"/>
    </w:pPr>
    <w:rPr>
      <w:sz w:val="20"/>
    </w:rPr>
  </w:style>
  <w:style w:type="paragraph" w:customStyle="1" w:styleId="Diss1">
    <w:name w:val="Diss.1"/>
    <w:basedOn w:val="Standard"/>
    <w:autoRedefine/>
    <w:pPr>
      <w:tabs>
        <w:tab w:val="num" w:pos="567"/>
      </w:tabs>
      <w:spacing w:line="240" w:lineRule="auto"/>
      <w:ind w:left="567" w:hanging="567"/>
    </w:pPr>
    <w:rPr>
      <w:b/>
      <w:sz w:val="20"/>
    </w:rPr>
  </w:style>
  <w:style w:type="paragraph" w:customStyle="1" w:styleId="Diss4">
    <w:name w:val="Diss.4"/>
    <w:basedOn w:val="Standard"/>
    <w:autoRedefine/>
    <w:pPr>
      <w:widowControl w:val="0"/>
      <w:numPr>
        <w:numId w:val="4"/>
      </w:numPr>
      <w:spacing w:line="360" w:lineRule="exact"/>
    </w:pPr>
    <w:rPr>
      <w:sz w:val="20"/>
    </w:rPr>
  </w:style>
  <w:style w:type="paragraph" w:customStyle="1" w:styleId="Diss5">
    <w:name w:val="Diss.5"/>
    <w:basedOn w:val="Standard"/>
    <w:autoRedefine/>
    <w:pPr>
      <w:widowControl w:val="0"/>
      <w:numPr>
        <w:ilvl w:val="4"/>
        <w:numId w:val="3"/>
      </w:numPr>
      <w:spacing w:line="360" w:lineRule="exact"/>
    </w:pPr>
    <w:rPr>
      <w:i/>
      <w:snapToGrid w:val="0"/>
      <w:sz w:val="20"/>
    </w:rPr>
  </w:style>
  <w:style w:type="paragraph" w:customStyle="1" w:styleId="Diss6">
    <w:name w:val="Diss.6"/>
    <w:basedOn w:val="Standard"/>
    <w:autoRedefine/>
    <w:pPr>
      <w:numPr>
        <w:ilvl w:val="5"/>
        <w:numId w:val="3"/>
      </w:numPr>
      <w:spacing w:line="360" w:lineRule="exact"/>
    </w:pPr>
    <w:rPr>
      <w:i/>
      <w:sz w:val="20"/>
    </w:rPr>
  </w:style>
  <w:style w:type="paragraph" w:customStyle="1" w:styleId="DissZitat">
    <w:name w:val="Diss.Zitat"/>
    <w:basedOn w:val="Standard"/>
    <w:autoRedefine/>
    <w:pPr>
      <w:spacing w:line="240" w:lineRule="auto"/>
      <w:ind w:left="567" w:right="567"/>
    </w:pPr>
    <w:rPr>
      <w:sz w:val="20"/>
    </w:rPr>
  </w:style>
  <w:style w:type="paragraph" w:customStyle="1" w:styleId="2">
    <w:name w:val="2"/>
    <w:basedOn w:val="Standard"/>
    <w:next w:val="Textkrper-Zeileneinzug"/>
    <w:pPr>
      <w:ind w:left="708"/>
    </w:p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Untertitel">
    <w:name w:val="Subtitle"/>
    <w:basedOn w:val="Standard"/>
    <w:qFormat/>
    <w:rPr>
      <w:b/>
      <w:bCs/>
      <w:sz w:val="28"/>
    </w:rPr>
  </w:style>
  <w:style w:type="paragraph" w:customStyle="1" w:styleId="1">
    <w:name w:val="1"/>
    <w:basedOn w:val="Standard"/>
    <w:next w:val="Textkrper-Zeileneinzug"/>
    <w:pPr>
      <w:ind w:left="708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C57DB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Standard"/>
    <w:rsid w:val="00EC0E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normal--char">
    <w:name w:val="normal--char"/>
    <w:basedOn w:val="Absatz-Standardschriftart"/>
    <w:rsid w:val="00EC0E4F"/>
  </w:style>
  <w:style w:type="paragraph" w:styleId="StandardWeb">
    <w:name w:val="Normal (Web)"/>
    <w:basedOn w:val="Standard"/>
    <w:uiPriority w:val="99"/>
    <w:semiHidden/>
    <w:unhideWhenUsed/>
    <w:rsid w:val="00D436E3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Default">
    <w:name w:val="Default"/>
    <w:rsid w:val="002165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uiPriority w:val="22"/>
    <w:qFormat/>
    <w:rsid w:val="009E1D02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1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1F12CD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073C15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1A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Vorlagen\Habil!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Habil!</Template>
  <TotalTime>0</TotalTime>
  <Pages>2</Pages>
  <Words>384</Words>
  <Characters>2606</Characters>
  <Application>Microsoft Office Word</Application>
  <DocSecurity>0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  Vor- und Nacherbschaft</vt:lpstr>
    </vt:vector>
  </TitlesOfParts>
  <Company>Lehrstuhl für a+i Privatrecht</Company>
  <LinksUpToDate>false</LinksUpToDate>
  <CharactersWithSpaces>2979</CharactersWithSpaces>
  <SharedDoc>false</SharedDoc>
  <HLinks>
    <vt:vector size="12" baseType="variant">
      <vt:variant>
        <vt:i4>4587538</vt:i4>
      </vt:variant>
      <vt:variant>
        <vt:i4>3</vt:i4>
      </vt:variant>
      <vt:variant>
        <vt:i4>0</vt:i4>
      </vt:variant>
      <vt:variant>
        <vt:i4>5</vt:i4>
      </vt:variant>
      <vt:variant>
        <vt:lpwstr>https://www.juris.de/r3/?docId=KORE302222017&amp;docFormat=xsl&amp;oi=MqqCKC6dGE&amp;docPart=K&amp;sourceP=%7B%22source%22:%22Link%22%7D</vt:lpwstr>
      </vt:variant>
      <vt:variant>
        <vt:lpwstr/>
      </vt:variant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https://www.juris.de/r3/?docId=KORE308462017&amp;docFormat=xsl&amp;oi=MqqCKC6dGE&amp;docPart=K&amp;sourceP=%7B%22source%22:%22Link%22%7D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  Vor- und Nacherbschaft</dc:title>
  <dc:subject/>
  <dc:creator>Prof. Dr. Tobias Helms</dc:creator>
  <cp:keywords/>
  <cp:lastModifiedBy>Prof. Helms</cp:lastModifiedBy>
  <cp:revision>30</cp:revision>
  <cp:lastPrinted>2020-06-26T07:15:00Z</cp:lastPrinted>
  <dcterms:created xsi:type="dcterms:W3CDTF">2023-06-27T15:55:00Z</dcterms:created>
  <dcterms:modified xsi:type="dcterms:W3CDTF">2024-07-08T16:27:00Z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f91a419929a8c8a485346a41c5b3750c780ef83990a9132f0f21151cc0ef426b</vt:lpwstr>
  </property>
</Properties>
</file>