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rPr>
          <w:rFonts w:cs="Times New Roman"/>
        </w:rPr>
      </w:pPr>
      <w:r>
        <w:rPr>
          <w:rFonts w:ascii="Arial" w:hAnsi="Arial" w:cs="Arial" w:eastAsia="Arial"/>
        </w:rPr>
        <w:t xml:space="preserve">Titel</w:t>
      </w:r>
      <w:r/>
    </w:p>
    <w:p>
      <w:pPr>
        <w:pStyle w:val="921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 xml:space="preserve">1</w:t>
      </w:r>
      <w:r>
        <w:rPr>
          <w:rFonts w:ascii="Arial" w:hAnsi="Arial" w:cs="Arial" w:eastAsia="Arial"/>
        </w:rPr>
        <w:t xml:space="preserve"> </w:t>
      </w:r>
      <w:r>
        <w:rPr>
          <w:rFonts w:ascii="Arial" w:hAnsi="Arial" w:cs="Arial" w:eastAsia="Arial"/>
        </w:rPr>
        <w:t xml:space="preserve">Textformat</w:t>
      </w:r>
      <w:r>
        <w:rPr>
          <w:rFonts w:ascii="Arial" w:hAnsi="Arial" w:cs="Arial" w:eastAsia="Arial"/>
        </w:rPr>
      </w:r>
      <w:r/>
    </w:p>
    <w:p>
      <w:r>
        <w:t xml:space="preserve">Die Einreichung erfolgt </w:t>
      </w:r>
      <w:r>
        <w:t xml:space="preserve">als </w:t>
      </w:r>
      <w:r>
        <w:t xml:space="preserve">pdf</w:t>
      </w:r>
      <w:r>
        <w:t xml:space="preserve"> Dokument.</w:t>
      </w:r>
      <w:r/>
    </w:p>
    <w:p>
      <w:r>
        <w:t xml:space="preserve">Der Text ist in Times New Roman 1</w:t>
      </w:r>
      <w:r>
        <w:t xml:space="preserve">2</w:t>
      </w:r>
      <w:r>
        <w:t xml:space="preserve"> Punkt fo</w:t>
      </w:r>
      <w:r>
        <w:t xml:space="preserve">rmatiert. Der Zeilenabstand ist einfach</w:t>
      </w:r>
      <w:r>
        <w:t xml:space="preserve">. Vor einem Textabsatz ist ein Abstand von 10 Punkt eingefügt. Textabsätze werden im Blocksatz formatiert.</w:t>
      </w:r>
      <w:r/>
    </w:p>
    <w:p>
      <w:r>
        <w:t xml:space="preserve">Überschriften und Titel sind in </w:t>
      </w:r>
      <w:r>
        <w:t xml:space="preserve">Arial </w:t>
      </w:r>
      <w:r>
        <w:t xml:space="preserve">12 Punkt und fett formatiert. Vor einer Überschrift ist ein Abstand von 21 Punkt eingefügt, nach einer Überschrift von 12 Punkt. Überschriften werden linksbündig gesetzt. Überschriften werden nummeriert mit Ausnah</w:t>
      </w:r>
      <w:r>
        <w:t xml:space="preserve">me des Literaturverzeichnisses.</w:t>
      </w:r>
      <w:r/>
    </w:p>
    <w:p>
      <w:pPr>
        <w:pStyle w:val="921"/>
        <w:rPr>
          <w:rFonts w:cs="Times New Roman"/>
        </w:rPr>
      </w:pPr>
      <w:r>
        <w:rPr>
          <w:rFonts w:ascii="Arial" w:hAnsi="Arial" w:cs="Arial" w:eastAsia="Arial"/>
        </w:rPr>
        <w:t xml:space="preserve">2 Gegenstand</w:t>
      </w:r>
      <w:r>
        <w:rPr>
          <w:rFonts w:ascii="Arial" w:hAnsi="Arial" w:cs="Arial" w:eastAsia="Arial"/>
        </w:rPr>
        <w:t xml:space="preserve">/Inhalt</w:t>
      </w:r>
      <w:r>
        <w:rPr>
          <w:rFonts w:ascii="Arial" w:hAnsi="Arial" w:cs="Arial" w:eastAsia="Arial"/>
        </w:rPr>
        <w:t xml:space="preserve"> der Einreichung</w:t>
      </w:r>
      <w:r/>
    </w:p>
    <w:p>
      <w:r>
        <w:t xml:space="preserve">Deine Einreichung sollte die Problemstellung, resultierende Forschungsfragen und das Forschungsdesign sowie (erste) Ergebniss</w:t>
      </w:r>
      <w:r>
        <w:t xml:space="preserve">e (Young Researchers) nachvollziehbar darstellen. Der Umfang dieser Darstellung sollte maximal 3 DIN A4 Seiten inklusive Literaturangaben umfassen. Willkommen sind auch Beiträge aus der Anfangsphase der Promotion und mitten aus dem Prozess der Forschung.  </w:t>
      </w:r>
      <w:r/>
    </w:p>
    <w:p>
      <w:r>
        <w:t xml:space="preserve">Bitte ergänze außerdem </w:t>
      </w:r>
      <w:r>
        <w:t xml:space="preserve">Autor:inneninformationen</w:t>
      </w:r>
      <w:r>
        <w:t xml:space="preserve">. Diese sollten Auskunft über Deinen Studienabschluss, Deinen derzeitigen Forschungs- und Arbeitsbereich sowie Deiner institutionellen Verortung und Forschungsinteressen geben.</w:t>
      </w:r>
      <w:r/>
    </w:p>
    <w:p>
      <w:r>
        <w:t xml:space="preserve">Das Seitenformat ist DIN A4. </w:t>
      </w:r>
      <w:r>
        <w:t xml:space="preserve">Der Seitenrand der Einreichung beträgt grundsätzlich 2 cm an allen Seiten</w:t>
      </w:r>
      <w:r>
        <w:t xml:space="preserve">.</w:t>
      </w:r>
      <w:r>
        <w:t xml:space="preserve"> Die Einreichung soll einen Umfang von </w:t>
      </w:r>
      <w:r>
        <w:t xml:space="preserve">maximal zwei</w:t>
      </w:r>
      <w:r>
        <w:t xml:space="preserve"> </w:t>
      </w:r>
      <w:r>
        <w:t xml:space="preserve">Seite</w:t>
      </w:r>
      <w:r>
        <w:t xml:space="preserve">n</w:t>
      </w:r>
      <w:r>
        <w:t xml:space="preserve"> nicht überschreiten.</w:t>
      </w:r>
      <w:r>
        <w:t xml:space="preserve"> </w:t>
      </w:r>
      <w:r>
        <w:t xml:space="preserve">Literaturangaben folgen auf der zweiten Seite</w:t>
      </w:r>
      <w:r>
        <w:t xml:space="preserve">.</w:t>
      </w:r>
      <w:r>
        <w:t xml:space="preserve"> </w:t>
      </w:r>
      <w:r>
        <w:t xml:space="preserve">Die Quellen im Literaturverzeichnis werden in 10</w:t>
      </w:r>
      <w:r>
        <w:t xml:space="preserve"> Punkt formatiert.</w:t>
      </w:r>
      <w:r>
        <w:t xml:space="preserve"> </w:t>
      </w:r>
      <w:r>
        <w:t xml:space="preserve">Literatur wird im Literaturverzeichnis inhaltlich folgendermaßen aufgeführt, allerdings ohne</w:t>
      </w:r>
      <w:r>
        <w:t xml:space="preserve"> besondere Formatierung:</w:t>
      </w:r>
      <w:bookmarkStart w:id="0" w:name="_GoBack"/>
      <w:r/>
      <w:bookmarkEnd w:id="0"/>
      <w:r>
        <w:br w:type="page"/>
      </w:r>
      <w:r/>
    </w:p>
    <w:p>
      <w:pPr>
        <w:pStyle w:val="921"/>
        <w:rPr>
          <w:rFonts w:cs="Times New Roman"/>
        </w:rPr>
      </w:pPr>
      <w:r>
        <w:rPr>
          <w:rFonts w:ascii="Arial" w:hAnsi="Arial" w:cs="Arial" w:eastAsia="Arial"/>
        </w:rPr>
        <w:t xml:space="preserve">Literaturverzeichnis</w:t>
      </w:r>
      <w:r/>
    </w:p>
    <w:p>
      <w:pPr>
        <w:jc w:val="left"/>
        <w:keepLines w:val="false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Berendt, B., </w:t>
      </w:r>
      <w:r>
        <w:rPr>
          <w:color w:val="000000"/>
          <w:sz w:val="20"/>
          <w:szCs w:val="20"/>
        </w:rPr>
        <w:t xml:space="preserve">Szczyrba</w:t>
      </w:r>
      <w:r>
        <w:rPr>
          <w:color w:val="000000"/>
          <w:sz w:val="20"/>
          <w:szCs w:val="20"/>
        </w:rPr>
        <w:t xml:space="preserve">, B., Fleischmann, A., Schaper, N. &amp; Wildt, J. (Hrsg.). (fortlaufend). Neues Handbuch Hochschullehre. Berlin: DUZ Verlags- und Medienhaus GmbH.</w:t>
      </w:r>
      <w:r>
        <w:rPr>
          <w:sz w:val="20"/>
        </w:rPr>
      </w:r>
      <w:r/>
    </w:p>
    <w:p>
      <w:pPr>
        <w:jc w:val="left"/>
        <w:keepLines w:val="false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Brinker</w:t>
      </w:r>
      <w:r>
        <w:rPr>
          <w:sz w:val="20"/>
          <w:szCs w:val="20"/>
        </w:rPr>
        <w:t xml:space="preserve">, T. &amp; Schumacher, E.-M. (2014). Befähigen statt belehren: neue Lehr- und Lernkultur an Hochschulen (1.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Aufl.). Bern: Hep-Verlag.</w:t>
      </w:r>
      <w:r>
        <w:rPr>
          <w:sz w:val="20"/>
        </w:rPr>
      </w:r>
      <w:r/>
    </w:p>
    <w:p>
      <w:pPr>
        <w:jc w:val="left"/>
        <w:keepLines w:val="false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European Union. (2006). Recommendation 2006/962/EC of the European Parliament and the Council of 18 December 2006 on key competencies for lifelong learning. </w:t>
      </w:r>
      <w:r>
        <w:rPr>
          <w:color w:val="000000"/>
          <w:sz w:val="20"/>
          <w:szCs w:val="20"/>
        </w:rPr>
        <w:t xml:space="preserve">Abgerufen von </w:t>
      </w:r>
      <w:hyperlink r:id="rId16" w:tooltip="http://eurlex.europa.eu/LexUriServ/LexUriServ.do?uri=CELEX:32006H0962:EN:NOT" w:history="1">
        <w:r>
          <w:rPr>
            <w:rStyle w:val="938"/>
            <w:sz w:val="20"/>
            <w:szCs w:val="20"/>
          </w:rPr>
          <w:t xml:space="preserve">http://eurlex.europa.eu/LexUriServ/LexUriServ.do?uri=CELEX:32006H0962:EN:NOT</w:t>
        </w:r>
      </w:hyperlink>
      <w:r>
        <w:rPr>
          <w:color w:val="0000FF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(zuletzt geprüft am 25.11.2015)</w:t>
      </w:r>
      <w:r>
        <w:rPr>
          <w:sz w:val="20"/>
        </w:rPr>
      </w:r>
      <w:r/>
    </w:p>
    <w:p>
      <w:pPr>
        <w:jc w:val="left"/>
        <w:keepLines w:val="false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Huber, L. (2014). </w:t>
      </w:r>
      <w:r>
        <w:rPr>
          <w:sz w:val="20"/>
          <w:szCs w:val="20"/>
        </w:rPr>
        <w:t xml:space="preserve">Scholarship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</w:t>
      </w:r>
      <w:r>
        <w:rPr>
          <w:sz w:val="20"/>
          <w:szCs w:val="20"/>
        </w:rPr>
        <w:t xml:space="preserve"> Teaching </w:t>
      </w:r>
      <w:r>
        <w:rPr>
          <w:sz w:val="20"/>
          <w:szCs w:val="20"/>
        </w:rPr>
        <w:t xml:space="preserve">and</w:t>
      </w:r>
      <w:r>
        <w:rPr>
          <w:sz w:val="20"/>
          <w:szCs w:val="20"/>
        </w:rPr>
        <w:t xml:space="preserve"> Learning: Konzept, Geschichte, Formen, Entwicklungsaufgaben. In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L. Huber, A. </w:t>
      </w:r>
      <w:r>
        <w:rPr>
          <w:sz w:val="20"/>
          <w:szCs w:val="20"/>
        </w:rPr>
        <w:t xml:space="preserve">Pilniok</w:t>
      </w:r>
      <w:r>
        <w:rPr>
          <w:sz w:val="20"/>
          <w:szCs w:val="20"/>
        </w:rPr>
        <w:t xml:space="preserve">, R. </w:t>
      </w:r>
      <w:r>
        <w:rPr>
          <w:sz w:val="20"/>
          <w:szCs w:val="20"/>
        </w:rPr>
        <w:t xml:space="preserve">Sethe</w:t>
      </w:r>
      <w:r>
        <w:rPr>
          <w:sz w:val="20"/>
          <w:szCs w:val="20"/>
        </w:rPr>
        <w:t xml:space="preserve">, B. </w:t>
      </w:r>
      <w:r>
        <w:rPr>
          <w:sz w:val="20"/>
          <w:szCs w:val="20"/>
        </w:rPr>
        <w:t xml:space="preserve">Szczyrba</w:t>
      </w:r>
      <w:r>
        <w:rPr>
          <w:sz w:val="20"/>
          <w:szCs w:val="20"/>
        </w:rPr>
        <w:t xml:space="preserve"> &amp; M. Vogel (Hrsg.), Forschendes Lernen im eigenen Fach (S.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19 - 36). Bielefeld: W. Bertelsmann Verlag.</w:t>
      </w:r>
      <w:r>
        <w:rPr>
          <w:sz w:val="20"/>
        </w:rPr>
      </w:r>
      <w:r/>
    </w:p>
    <w:p>
      <w:pPr>
        <w:jc w:val="left"/>
        <w:keepLines w:val="false"/>
        <w:spacing w:after="0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Jorzik</w:t>
      </w:r>
      <w:r>
        <w:rPr>
          <w:color w:val="000000"/>
          <w:sz w:val="20"/>
          <w:szCs w:val="20"/>
        </w:rPr>
        <w:t xml:space="preserve">, B. (Hrsg.). (2013). Charta Guter Lehre. Grundsätze und Leitlinien für eine neue Lehrkultur. Stifterverband für die Deutsche Wissenschaft. Abgerufen von </w:t>
      </w:r>
      <w:r>
        <w:rPr>
          <w:color w:val="0000FF"/>
          <w:sz w:val="20"/>
          <w:szCs w:val="20"/>
        </w:rPr>
        <w:t xml:space="preserve">http://www.stifterverband.info/wissenschaft_und_hochschule/lehre/charta_guter_lehre/charta_guter_lehre.pdf</w:t>
      </w:r>
      <w:r>
        <w:rPr>
          <w:sz w:val="20"/>
        </w:rPr>
      </w:r>
      <w:r/>
    </w:p>
    <w:p>
      <w:pPr>
        <w:jc w:val="left"/>
        <w:keepLines w:val="false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(zuletzt geprüft a</w:t>
      </w:r>
      <w:r>
        <w:rPr>
          <w:color w:val="000000"/>
          <w:sz w:val="20"/>
          <w:szCs w:val="20"/>
        </w:rPr>
        <w:t xml:space="preserve"> 25.11.15).</w:t>
      </w:r>
      <w:r>
        <w:rPr>
          <w:sz w:val="20"/>
        </w:rPr>
      </w:r>
      <w:r/>
    </w:p>
    <w:p>
      <w:pPr>
        <w:jc w:val="left"/>
        <w:keepLines w:val="false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Metz-</w:t>
      </w:r>
      <w:r>
        <w:rPr>
          <w:color w:val="000000"/>
          <w:sz w:val="20"/>
          <w:szCs w:val="20"/>
        </w:rPr>
        <w:t xml:space="preserve">Göckel</w:t>
      </w:r>
      <w:r>
        <w:rPr>
          <w:color w:val="000000"/>
          <w:sz w:val="20"/>
          <w:szCs w:val="20"/>
        </w:rPr>
        <w:t xml:space="preserve">, S., </w:t>
      </w:r>
      <w:r>
        <w:rPr>
          <w:color w:val="000000"/>
          <w:sz w:val="20"/>
          <w:szCs w:val="20"/>
        </w:rPr>
        <w:t xml:space="preserve">Kamphans</w:t>
      </w:r>
      <w:r>
        <w:rPr>
          <w:color w:val="000000"/>
          <w:sz w:val="20"/>
          <w:szCs w:val="20"/>
        </w:rPr>
        <w:t xml:space="preserve">, M. &amp; </w:t>
      </w:r>
      <w:r>
        <w:rPr>
          <w:color w:val="000000"/>
          <w:sz w:val="20"/>
          <w:szCs w:val="20"/>
        </w:rPr>
        <w:t xml:space="preserve">Scholkmann</w:t>
      </w:r>
      <w:r>
        <w:rPr>
          <w:color w:val="000000"/>
          <w:sz w:val="20"/>
          <w:szCs w:val="20"/>
        </w:rPr>
        <w:t xml:space="preserve">, A. (2012). Hochschuldidaktische Forschung zur Lehrqualität und Lernwirksamkeit. Zeitschrift für Erziehungswissenschaft, </w:t>
      </w:r>
      <w:r>
        <w:rPr>
          <w:color w:val="000000"/>
          <w:sz w:val="20"/>
          <w:szCs w:val="20"/>
        </w:rPr>
        <w:t xml:space="preserve">doi</w:t>
      </w:r>
      <w:r>
        <w:rPr>
          <w:color w:val="000000"/>
          <w:sz w:val="20"/>
          <w:szCs w:val="20"/>
        </w:rPr>
        <w:t xml:space="preserve"> 10.1007/s11618-012-0274-z</w:t>
      </w:r>
      <w:r>
        <w:rPr>
          <w:sz w:val="20"/>
        </w:rPr>
      </w:r>
      <w:r/>
    </w:p>
    <w:p>
      <w:pPr>
        <w:jc w:val="left"/>
        <w:keepLines w:val="false"/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Reinmann</w:t>
      </w:r>
      <w:r>
        <w:rPr>
          <w:sz w:val="20"/>
          <w:szCs w:val="20"/>
        </w:rPr>
        <w:t xml:space="preserve">, G. &amp; Mandl, H. (2006). Unterrichten und Lernumgebungen gestalten. In A. Krapp &amp; B. Weidenmann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(Hrsg.), Pädagogische Psychologie (S. 613–658). Weinheim und Basel: Beltz PVU.</w:t>
      </w:r>
      <w:r>
        <w:rPr>
          <w:sz w:val="20"/>
        </w:rPr>
      </w:r>
      <w:r/>
    </w:p>
    <w:p>
      <w:pPr>
        <w:jc w:val="left"/>
        <w:keepLines w:val="false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Amundsen, C. &amp; Wilson, M. (2012). Are we asking the right questions? A conceptual review of the educational</w:t>
      </w:r>
      <w:r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development literature in higher education. </w:t>
      </w:r>
      <w:r>
        <w:rPr>
          <w:color w:val="000000"/>
          <w:sz w:val="20"/>
          <w:szCs w:val="20"/>
        </w:rPr>
        <w:t xml:space="preserve">Review </w:t>
      </w:r>
      <w:r>
        <w:rPr>
          <w:color w:val="000000"/>
          <w:sz w:val="20"/>
          <w:szCs w:val="20"/>
        </w:rPr>
        <w:t xml:space="preserve">of</w:t>
      </w:r>
      <w:r>
        <w:rPr>
          <w:color w:val="000000"/>
          <w:sz w:val="20"/>
          <w:szCs w:val="20"/>
        </w:rPr>
        <w:t xml:space="preserve"> Educational Research, 82(1), 90-126.</w:t>
      </w:r>
      <w:r/>
    </w:p>
    <w:p>
      <w:pPr>
        <w:jc w:val="left"/>
        <w:keepLines w:val="false"/>
        <w:spacing w:after="0"/>
        <w:rPr>
          <w:sz w:val="18"/>
        </w:rPr>
      </w:pPr>
      <w:r>
        <w:br w:type="page"/>
      </w:r>
      <w:r/>
    </w:p>
    <w:p>
      <w:pPr>
        <w:pStyle w:val="921"/>
        <w:rPr>
          <w:rFonts w:cs="Times New Roman"/>
        </w:rPr>
      </w:pPr>
      <w:r>
        <w:rPr>
          <w:rFonts w:cs="Times New Roman"/>
        </w:rPr>
        <w:t xml:space="preserve">Beteiligungsform</w:t>
      </w:r>
      <w:r/>
    </w:p>
    <w:p>
      <w:r>
        <w:t xml:space="preserve">Ich bevorzuge als Beteiligungsform:</w:t>
      </w:r>
      <w:r/>
    </w:p>
    <w:p>
      <w:r>
        <w:rPr>
          <w:rFonts w:eastAsia="Wingdings"/>
        </w:rPr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Wingdings"/>
          </w:rPr>
        </w:sdtPr>
        <w:sdtContent>
          <w:r>
            <w:rPr>
              <w:rFonts w:ascii="MS Gothic" w:hAnsi="MS Gothic" w:cs="MS Gothic" w:eastAsia="MS Gothic"/>
            </w:rPr>
            <w:t xml:space="preserve">☐</w:t>
          </w:r>
        </w:sdtContent>
      </w:sdt>
      <w:r>
        <w:t xml:space="preserve"> Vortrag </w:t>
      </w:r>
      <w:r>
        <w:tab/>
      </w:r>
      <w:r>
        <w:rPr>
          <w:rFonts w:eastAsia="Wingdings"/>
        </w:rPr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Wingdings"/>
          </w:rPr>
        </w:sdtPr>
        <w:sdtContent>
          <w:r>
            <w:rPr>
              <w:rFonts w:ascii="MS Gothic" w:hAnsi="MS Gothic" w:cs="MS Gothic" w:eastAsia="MS Gothic"/>
            </w:rPr>
            <w:t xml:space="preserve">☐</w:t>
          </w:r>
        </w:sdtContent>
      </w:sdt>
      <w:r>
        <w:t xml:space="preserve"> </w:t>
      </w:r>
      <w:r>
        <w:t xml:space="preserve">Posterpräsentation</w:t>
      </w:r>
      <w:r>
        <w:tab/>
        <w:t xml:space="preserve">   </w:t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Wingdings"/>
          </w:rPr>
        </w:sdtPr>
        <w:sdtContent>
          <w:r>
            <w:rPr>
              <w:rFonts w:ascii="MS Gothic" w:hAnsi="MS Gothic" w:cs="MS Gothic" w:eastAsia="MS Gothic"/>
            </w:rPr>
            <w:t xml:space="preserve">☐</w:t>
          </w:r>
        </w:sdtContent>
      </w:sdt>
      <w:r>
        <w:t xml:space="preserve"> </w:t>
      </w:r>
      <w:r>
        <w:t xml:space="preserve">Kollegialer Austausch</w:t>
      </w:r>
      <w:r/>
    </w:p>
    <w:p>
      <w:r/>
      <w:r/>
    </w:p>
    <w:p>
      <w:r/>
      <w:r/>
    </w:p>
    <w:p>
      <w:r>
        <w:t xml:space="preserve">Wenn meine bevorzugte Beteiligungsform nicht realisiert werden kann, bin ich auch bereit in folgender Form zu präsentieren:</w:t>
      </w:r>
      <w:r/>
    </w:p>
    <w:p>
      <w:r>
        <w:rPr>
          <w:rFonts w:eastAsia="Wingdings"/>
        </w:rPr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Wingdings"/>
          </w:rPr>
        </w:sdtPr>
        <w:sdtContent>
          <w:r>
            <w:rPr>
              <w:rFonts w:ascii="MS Gothic" w:hAnsi="MS Gothic" w:cs="MS Gothic" w:eastAsia="MS Gothic"/>
            </w:rPr>
            <w:t xml:space="preserve">☐</w:t>
          </w:r>
        </w:sdtContent>
      </w:sdt>
      <w:r>
        <w:t xml:space="preserve"> Vortrag </w:t>
      </w:r>
      <w:r>
        <w:tab/>
      </w:r>
      <w:r>
        <w:rPr>
          <w:rFonts w:eastAsia="Wingdings"/>
        </w:rPr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Wingdings"/>
          </w:rPr>
        </w:sdtPr>
        <w:sdtContent>
          <w:r>
            <w:rPr>
              <w:rFonts w:ascii="MS Gothic" w:hAnsi="MS Gothic" w:cs="MS Gothic" w:eastAsia="MS Gothic"/>
            </w:rPr>
            <w:t xml:space="preserve">☐</w:t>
          </w:r>
        </w:sdtContent>
      </w:sdt>
      <w:r>
        <w:t xml:space="preserve"> </w:t>
      </w:r>
      <w:r>
        <w:t xml:space="preserve">Posterpräsentation</w:t>
      </w:r>
      <w:r>
        <w:tab/>
        <w:t xml:space="preserve">   </w:t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Wingdings"/>
          </w:rPr>
        </w:sdtPr>
        <w:sdtContent>
          <w:r>
            <w:rPr>
              <w:rFonts w:ascii="MS Gothic" w:hAnsi="MS Gothic" w:cs="MS Gothic" w:eastAsia="MS Gothic"/>
            </w:rPr>
            <w:t xml:space="preserve">☐</w:t>
          </w:r>
        </w:sdtContent>
      </w:sdt>
      <w:r>
        <w:t xml:space="preserve"> </w:t>
      </w:r>
      <w:r>
        <w:t xml:space="preserve">Kollegialer Austausch</w:t>
      </w:r>
      <w:r>
        <w:tab/>
      </w:r>
      <w:r/>
    </w:p>
    <w:p>
      <w:r/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1134" w:right="1134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rPr>
        <w:rStyle w:val="945"/>
      </w:rPr>
      <w:framePr w:wrap="around" w:vAnchor="text" w:hAnchor="margin" w:xAlign="right" w:y="1"/>
    </w:pPr>
    <w:r>
      <w:rPr>
        <w:rStyle w:val="945"/>
      </w:rPr>
      <w:fldChar w:fldCharType="begin"/>
    </w:r>
    <w:r>
      <w:rPr>
        <w:rStyle w:val="945"/>
      </w:rPr>
      <w:instrText xml:space="preserve">PAGE  </w:instrText>
    </w:r>
    <w:r>
      <w:rPr>
        <w:rStyle w:val="945"/>
      </w:rPr>
      <w:fldChar w:fldCharType="end"/>
    </w:r>
    <w:r/>
  </w:p>
  <w:p>
    <w:pPr>
      <w:pStyle w:val="94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4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0" w:hanging="360"/>
        <w:tabs>
          <w:tab w:val="num" w:pos="77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0" w:hanging="360"/>
        <w:tabs>
          <w:tab w:val="num" w:pos="149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0" w:hanging="360"/>
        <w:tabs>
          <w:tab w:val="num" w:pos="221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0" w:hanging="360"/>
        <w:tabs>
          <w:tab w:val="num" w:pos="293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0" w:hanging="360"/>
        <w:tabs>
          <w:tab w:val="num" w:pos="365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0" w:hanging="360"/>
        <w:tabs>
          <w:tab w:val="num" w:pos="437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0" w:hanging="360"/>
        <w:tabs>
          <w:tab w:val="num" w:pos="509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0" w:hanging="360"/>
        <w:tabs>
          <w:tab w:val="num" w:pos="581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0" w:hanging="360"/>
        <w:tabs>
          <w:tab w:val="num" w:pos="653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cs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60"/>
        <w:tabs>
          <w:tab w:val="num" w:pos="357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77" w:hanging="360"/>
        <w:tabs>
          <w:tab w:val="num" w:pos="1077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797" w:hanging="360"/>
        <w:tabs>
          <w:tab w:val="num" w:pos="179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17" w:hanging="360"/>
        <w:tabs>
          <w:tab w:val="num" w:pos="251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37" w:hanging="360"/>
        <w:tabs>
          <w:tab w:val="num" w:pos="3237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57" w:hanging="360"/>
        <w:tabs>
          <w:tab w:val="num" w:pos="395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77" w:hanging="360"/>
        <w:tabs>
          <w:tab w:val="num" w:pos="467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397" w:hanging="360"/>
        <w:tabs>
          <w:tab w:val="num" w:pos="5397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17" w:hanging="360"/>
        <w:tabs>
          <w:tab w:val="num" w:pos="6117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1068" w:hanging="360"/>
        <w:tabs>
          <w:tab w:val="num" w:pos="1068" w:leader="none"/>
        </w:tabs>
      </w:pPr>
      <w:rPr>
        <w:rFonts w:ascii="Wingdings" w:hAnsi="Wingdings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Arial" w:hAnsi="Arial" w:cs="Times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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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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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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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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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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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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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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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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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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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64" w:hanging="360"/>
        <w:tabs>
          <w:tab w:val="num" w:pos="146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84" w:hanging="360"/>
        <w:tabs>
          <w:tab w:val="num" w:pos="218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904" w:hanging="360"/>
        <w:tabs>
          <w:tab w:val="num" w:pos="290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624" w:hanging="360"/>
        <w:tabs>
          <w:tab w:val="num" w:pos="362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44" w:hanging="360"/>
        <w:tabs>
          <w:tab w:val="num" w:pos="434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064" w:hanging="360"/>
        <w:tabs>
          <w:tab w:val="num" w:pos="506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5784" w:hanging="360"/>
        <w:tabs>
          <w:tab w:val="num" w:pos="5784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Arial" w:hAnsi="Arial" w:cs="Times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  <w:lang w:val="en-GB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Wingdings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Wingdings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41"/>
  </w:num>
  <w:num w:numId="6">
    <w:abstractNumId w:val="2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8"/>
  </w:num>
  <w:num w:numId="10">
    <w:abstractNumId w:val="0"/>
  </w:num>
  <w:num w:numId="11">
    <w:abstractNumId w:val="3"/>
  </w:num>
  <w:num w:numId="12">
    <w:abstractNumId w:val="35"/>
  </w:num>
  <w:num w:numId="13">
    <w:abstractNumId w:val="11"/>
  </w:num>
  <w:num w:numId="14">
    <w:abstractNumId w:val="2"/>
  </w:num>
  <w:num w:numId="15">
    <w:abstractNumId w:val="13"/>
  </w:num>
  <w:num w:numId="16">
    <w:abstractNumId w:val="24"/>
  </w:num>
  <w:num w:numId="17">
    <w:abstractNumId w:val="18"/>
  </w:num>
  <w:num w:numId="18">
    <w:abstractNumId w:val="45"/>
  </w:num>
  <w:num w:numId="19">
    <w:abstractNumId w:val="42"/>
  </w:num>
  <w:num w:numId="20">
    <w:abstractNumId w:val="15"/>
  </w:num>
  <w:num w:numId="21">
    <w:abstractNumId w:val="33"/>
  </w:num>
  <w:num w:numId="22">
    <w:abstractNumId w:val="46"/>
  </w:num>
  <w:num w:numId="23">
    <w:abstractNumId w:val="19"/>
  </w:num>
  <w:num w:numId="24">
    <w:abstractNumId w:val="26"/>
  </w:num>
  <w:num w:numId="25">
    <w:abstractNumId w:val="16"/>
  </w:num>
  <w:num w:numId="26">
    <w:abstractNumId w:val="27"/>
  </w:num>
  <w:num w:numId="27">
    <w:abstractNumId w:val="9"/>
  </w:num>
  <w:num w:numId="28">
    <w:abstractNumId w:val="4"/>
  </w:num>
  <w:num w:numId="29">
    <w:abstractNumId w:val="25"/>
  </w:num>
  <w:num w:numId="30">
    <w:abstractNumId w:val="22"/>
  </w:num>
  <w:num w:numId="31">
    <w:abstractNumId w:val="20"/>
  </w:num>
  <w:num w:numId="32">
    <w:abstractNumId w:val="1"/>
  </w:num>
  <w:num w:numId="33">
    <w:abstractNumId w:val="10"/>
  </w:num>
  <w:num w:numId="34">
    <w:abstractNumId w:val="43"/>
  </w:num>
  <w:num w:numId="35">
    <w:abstractNumId w:val="38"/>
  </w:num>
  <w:num w:numId="36">
    <w:abstractNumId w:val="29"/>
  </w:num>
  <w:num w:numId="37">
    <w:abstractNumId w:val="32"/>
  </w:num>
  <w:num w:numId="38">
    <w:abstractNumId w:val="34"/>
  </w:num>
  <w:num w:numId="39">
    <w:abstractNumId w:val="17"/>
  </w:num>
  <w:num w:numId="40">
    <w:abstractNumId w:val="12"/>
  </w:num>
  <w:num w:numId="41">
    <w:abstractNumId w:val="8"/>
  </w:num>
  <w:num w:numId="42">
    <w:abstractNumId w:val="23"/>
  </w:num>
  <w:num w:numId="43">
    <w:abstractNumId w:val="14"/>
  </w:num>
  <w:num w:numId="44">
    <w:abstractNumId w:val="36"/>
  </w:num>
  <w:num w:numId="45">
    <w:abstractNumId w:val="30"/>
  </w:num>
  <w:num w:numId="46">
    <w:abstractNumId w:val="31"/>
  </w:num>
  <w:num w:numId="47">
    <w:abstractNumId w:val="6"/>
  </w:num>
  <w:num w:numId="48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bidi="ar-SA" w:eastAsia="de-DE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5">
    <w:name w:val="Heading 1 Char"/>
    <w:basedOn w:val="923"/>
    <w:link w:val="921"/>
    <w:uiPriority w:val="9"/>
    <w:rPr>
      <w:rFonts w:ascii="Arial" w:hAnsi="Arial" w:cs="Arial" w:eastAsia="Arial"/>
      <w:sz w:val="40"/>
      <w:szCs w:val="40"/>
    </w:rPr>
  </w:style>
  <w:style w:type="character" w:styleId="756">
    <w:name w:val="Heading 2 Char"/>
    <w:basedOn w:val="923"/>
    <w:link w:val="922"/>
    <w:uiPriority w:val="9"/>
    <w:rPr>
      <w:rFonts w:ascii="Arial" w:hAnsi="Arial" w:cs="Arial" w:eastAsia="Arial"/>
      <w:sz w:val="34"/>
    </w:rPr>
  </w:style>
  <w:style w:type="paragraph" w:styleId="757">
    <w:name w:val="Heading 3"/>
    <w:basedOn w:val="920"/>
    <w:next w:val="920"/>
    <w:link w:val="75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58">
    <w:name w:val="Heading 3 Char"/>
    <w:basedOn w:val="923"/>
    <w:link w:val="757"/>
    <w:uiPriority w:val="9"/>
    <w:rPr>
      <w:rFonts w:ascii="Arial" w:hAnsi="Arial" w:cs="Arial" w:eastAsia="Arial"/>
      <w:sz w:val="30"/>
      <w:szCs w:val="30"/>
    </w:rPr>
  </w:style>
  <w:style w:type="paragraph" w:styleId="759">
    <w:name w:val="Heading 4"/>
    <w:basedOn w:val="920"/>
    <w:next w:val="920"/>
    <w:link w:val="76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60">
    <w:name w:val="Heading 4 Char"/>
    <w:basedOn w:val="923"/>
    <w:link w:val="759"/>
    <w:uiPriority w:val="9"/>
    <w:rPr>
      <w:rFonts w:ascii="Arial" w:hAnsi="Arial" w:cs="Arial" w:eastAsia="Arial"/>
      <w:b/>
      <w:bCs/>
      <w:sz w:val="26"/>
      <w:szCs w:val="26"/>
    </w:rPr>
  </w:style>
  <w:style w:type="paragraph" w:styleId="761">
    <w:name w:val="Heading 5"/>
    <w:basedOn w:val="920"/>
    <w:next w:val="920"/>
    <w:link w:val="76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62">
    <w:name w:val="Heading 5 Char"/>
    <w:basedOn w:val="923"/>
    <w:link w:val="761"/>
    <w:uiPriority w:val="9"/>
    <w:rPr>
      <w:rFonts w:ascii="Arial" w:hAnsi="Arial" w:cs="Arial" w:eastAsia="Arial"/>
      <w:b/>
      <w:bCs/>
      <w:sz w:val="24"/>
      <w:szCs w:val="24"/>
    </w:rPr>
  </w:style>
  <w:style w:type="paragraph" w:styleId="763">
    <w:name w:val="Heading 6"/>
    <w:basedOn w:val="920"/>
    <w:next w:val="920"/>
    <w:link w:val="7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64">
    <w:name w:val="Heading 6 Char"/>
    <w:basedOn w:val="923"/>
    <w:link w:val="763"/>
    <w:uiPriority w:val="9"/>
    <w:rPr>
      <w:rFonts w:ascii="Arial" w:hAnsi="Arial" w:cs="Arial" w:eastAsia="Arial"/>
      <w:b/>
      <w:bCs/>
      <w:sz w:val="22"/>
      <w:szCs w:val="22"/>
    </w:rPr>
  </w:style>
  <w:style w:type="paragraph" w:styleId="765">
    <w:name w:val="Heading 7"/>
    <w:basedOn w:val="920"/>
    <w:next w:val="920"/>
    <w:link w:val="7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66">
    <w:name w:val="Heading 7 Char"/>
    <w:basedOn w:val="923"/>
    <w:link w:val="7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7">
    <w:name w:val="Heading 8"/>
    <w:basedOn w:val="920"/>
    <w:next w:val="920"/>
    <w:link w:val="7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68">
    <w:name w:val="Heading 8 Char"/>
    <w:basedOn w:val="923"/>
    <w:link w:val="767"/>
    <w:uiPriority w:val="9"/>
    <w:rPr>
      <w:rFonts w:ascii="Arial" w:hAnsi="Arial" w:cs="Arial" w:eastAsia="Arial"/>
      <w:i/>
      <w:iCs/>
      <w:sz w:val="22"/>
      <w:szCs w:val="22"/>
    </w:rPr>
  </w:style>
  <w:style w:type="paragraph" w:styleId="769">
    <w:name w:val="Heading 9"/>
    <w:basedOn w:val="920"/>
    <w:next w:val="920"/>
    <w:link w:val="7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70">
    <w:name w:val="Heading 9 Char"/>
    <w:basedOn w:val="923"/>
    <w:link w:val="769"/>
    <w:uiPriority w:val="9"/>
    <w:rPr>
      <w:rFonts w:ascii="Arial" w:hAnsi="Arial" w:cs="Arial" w:eastAsia="Arial"/>
      <w:i/>
      <w:iCs/>
      <w:sz w:val="21"/>
      <w:szCs w:val="21"/>
    </w:rPr>
  </w:style>
  <w:style w:type="paragraph" w:styleId="771">
    <w:name w:val="No Spacing"/>
    <w:qFormat/>
    <w:uiPriority w:val="1"/>
    <w:pPr>
      <w:spacing w:lineRule="auto" w:line="240" w:after="0" w:before="0"/>
    </w:pPr>
  </w:style>
  <w:style w:type="character" w:styleId="772">
    <w:name w:val="Title Char"/>
    <w:basedOn w:val="923"/>
    <w:link w:val="927"/>
    <w:uiPriority w:val="10"/>
    <w:rPr>
      <w:sz w:val="48"/>
      <w:szCs w:val="48"/>
    </w:rPr>
  </w:style>
  <w:style w:type="paragraph" w:styleId="773">
    <w:name w:val="Subtitle"/>
    <w:basedOn w:val="920"/>
    <w:next w:val="920"/>
    <w:link w:val="774"/>
    <w:qFormat/>
    <w:uiPriority w:val="11"/>
    <w:rPr>
      <w:sz w:val="24"/>
      <w:szCs w:val="24"/>
    </w:rPr>
    <w:pPr>
      <w:spacing w:after="200" w:before="200"/>
    </w:pPr>
  </w:style>
  <w:style w:type="character" w:styleId="774">
    <w:name w:val="Subtitle Char"/>
    <w:basedOn w:val="923"/>
    <w:link w:val="773"/>
    <w:uiPriority w:val="11"/>
    <w:rPr>
      <w:sz w:val="24"/>
      <w:szCs w:val="24"/>
    </w:rPr>
  </w:style>
  <w:style w:type="paragraph" w:styleId="775">
    <w:name w:val="Quote"/>
    <w:basedOn w:val="920"/>
    <w:next w:val="920"/>
    <w:link w:val="776"/>
    <w:qFormat/>
    <w:uiPriority w:val="29"/>
    <w:rPr>
      <w:i/>
    </w:rPr>
    <w:pPr>
      <w:ind w:left="720" w:right="720"/>
    </w:p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0"/>
    <w:next w:val="920"/>
    <w:link w:val="77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78">
    <w:name w:val="Intense Quote Char"/>
    <w:link w:val="777"/>
    <w:uiPriority w:val="30"/>
    <w:rPr>
      <w:i/>
    </w:rPr>
  </w:style>
  <w:style w:type="character" w:styleId="779">
    <w:name w:val="Header Char"/>
    <w:basedOn w:val="923"/>
    <w:link w:val="948"/>
    <w:uiPriority w:val="99"/>
  </w:style>
  <w:style w:type="character" w:styleId="780">
    <w:name w:val="Footer Char"/>
    <w:basedOn w:val="923"/>
    <w:link w:val="944"/>
    <w:uiPriority w:val="99"/>
  </w:style>
  <w:style w:type="character" w:styleId="781">
    <w:name w:val="Caption Char"/>
    <w:basedOn w:val="926"/>
    <w:link w:val="944"/>
    <w:uiPriority w:val="99"/>
  </w:style>
  <w:style w:type="table" w:styleId="782">
    <w:name w:val="Table Grid Light"/>
    <w:basedOn w:val="9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8">
    <w:name w:val="Grid Table 1 Light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2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2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2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2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2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3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3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3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3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3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4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0">
    <w:name w:val="Grid Table 4 - Accent 1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11">
    <w:name w:val="Grid Table 4 - Accent 2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12">
    <w:name w:val="Grid Table 4 - Accent 3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13">
    <w:name w:val="Grid Table 4 - Accent 4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14">
    <w:name w:val="Grid Table 4 - Accent 5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5">
    <w:name w:val="Grid Table 4 - Accent 6"/>
    <w:basedOn w:val="9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6">
    <w:name w:val="Grid Table 5 Dark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17">
    <w:name w:val="Grid Table 5 Dark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18">
    <w:name w:val="Grid Table 5 Dark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19">
    <w:name w:val="Grid Table 5 Dark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20">
    <w:name w:val="Grid Table 5 Dark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21">
    <w:name w:val="Grid Table 5 Dark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22">
    <w:name w:val="Grid Table 5 Dark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23">
    <w:name w:val="Grid Table 6 Colorful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7 Colorful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Grid Table 7 Colorful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Grid Table 7 Colorful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Grid Table 7 Colorful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Grid Table 7 Colorful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1 Light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List Table 1 Light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List Table 1 Light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List Table 1 Light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43">
    <w:name w:val="List Table 1 Light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List Table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45">
    <w:name w:val="List Table 2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46">
    <w:name w:val="List Table 2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47">
    <w:name w:val="List Table 2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48">
    <w:name w:val="List Table 2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49">
    <w:name w:val="List Table 2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50">
    <w:name w:val="List Table 2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51">
    <w:name w:val="List Table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73">
    <w:name w:val="List Table 6 Colorful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74">
    <w:name w:val="List Table 6 Colorful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75">
    <w:name w:val="List Table 6 Colorful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76">
    <w:name w:val="List Table 6 Colorful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77">
    <w:name w:val="List Table 6 Colorful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78">
    <w:name w:val="List Table 6 Colorful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79">
    <w:name w:val="List Table 7 Colorful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1">
    <w:name w:val="List Table 7 Colorful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2">
    <w:name w:val="List Table 7 Colorful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3">
    <w:name w:val="List Table 7 Colorful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4">
    <w:name w:val="List Table 7 Colorful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5">
    <w:name w:val="List Table 7 Colorful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6">
    <w:name w:val="Lined - Accent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87">
    <w:name w:val="Lined - Accent 1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88">
    <w:name w:val="Lined - Accent 2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89">
    <w:name w:val="Lined - Accent 3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90">
    <w:name w:val="Lined - Accent 4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91">
    <w:name w:val="Lined - Accent 5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92">
    <w:name w:val="Lined - Accent 6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93">
    <w:name w:val="Bordered &amp; Lined - Accent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94">
    <w:name w:val="Bordered &amp; Lined - Accent 1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95">
    <w:name w:val="Bordered &amp; Lined - Accent 2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96">
    <w:name w:val="Bordered &amp; Lined - Accent 3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97">
    <w:name w:val="Bordered &amp; Lined - Accent 4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98">
    <w:name w:val="Bordered &amp; Lined - Accent 5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99">
    <w:name w:val="Bordered &amp; Lined - Accent 6"/>
    <w:basedOn w:val="9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0">
    <w:name w:val="Bordered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01">
    <w:name w:val="Bordered - Accent 1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02">
    <w:name w:val="Bordered - Accent 2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03">
    <w:name w:val="Bordered - Accent 3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04">
    <w:name w:val="Bordered - Accent 4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05">
    <w:name w:val="Bordered - Accent 5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06">
    <w:name w:val="Bordered - Accent 6"/>
    <w:basedOn w:val="9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07">
    <w:name w:val="Footnote Text Char"/>
    <w:link w:val="929"/>
    <w:uiPriority w:val="99"/>
    <w:rPr>
      <w:sz w:val="18"/>
    </w:rPr>
  </w:style>
  <w:style w:type="character" w:styleId="908">
    <w:name w:val="Endnote Text Char"/>
    <w:link w:val="953"/>
    <w:uiPriority w:val="99"/>
    <w:rPr>
      <w:sz w:val="20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qFormat/>
    <w:rPr>
      <w:sz w:val="24"/>
      <w:szCs w:val="24"/>
    </w:rPr>
    <w:pPr>
      <w:jc w:val="both"/>
      <w:keepLines/>
      <w:spacing w:lineRule="auto" w:line="360" w:after="200"/>
    </w:pPr>
  </w:style>
  <w:style w:type="paragraph" w:styleId="921">
    <w:name w:val="Heading 1"/>
    <w:basedOn w:val="920"/>
    <w:next w:val="920"/>
    <w:qFormat/>
    <w:rPr>
      <w:rFonts w:cs="Arial"/>
      <w:b/>
      <w:bCs/>
      <w:sz w:val="32"/>
      <w:szCs w:val="32"/>
    </w:rPr>
    <w:pPr>
      <w:keepNext/>
      <w:spacing w:after="240" w:before="420"/>
      <w:outlineLvl w:val="0"/>
    </w:pPr>
  </w:style>
  <w:style w:type="paragraph" w:styleId="922">
    <w:name w:val="Heading 2"/>
    <w:basedOn w:val="920"/>
    <w:next w:val="920"/>
    <w:qFormat/>
    <w:rPr>
      <w:rFonts w:cs="Arial"/>
      <w:b/>
      <w:bCs/>
      <w:iCs/>
      <w:sz w:val="28"/>
      <w:szCs w:val="28"/>
    </w:rPr>
    <w:pPr>
      <w:keepNext/>
      <w:spacing w:before="400"/>
      <w:outlineLvl w:val="1"/>
    </w:pPr>
  </w:style>
  <w:style w:type="character" w:styleId="923" w:default="1">
    <w:name w:val="Default Paragraph Font"/>
    <w:uiPriority w:val="1"/>
    <w:semiHidden/>
    <w:unhideWhenUsed/>
  </w:style>
  <w:style w:type="table" w:styleId="9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5" w:default="1">
    <w:name w:val="No List"/>
    <w:uiPriority w:val="99"/>
    <w:semiHidden/>
    <w:unhideWhenUsed/>
  </w:style>
  <w:style w:type="paragraph" w:styleId="926">
    <w:name w:val="Caption"/>
    <w:basedOn w:val="920"/>
    <w:next w:val="920"/>
    <w:qFormat/>
    <w:rPr>
      <w:bCs/>
      <w:sz w:val="20"/>
      <w:szCs w:val="20"/>
    </w:rPr>
    <w:pPr>
      <w:jc w:val="center"/>
      <w:spacing w:after="120" w:before="120"/>
    </w:pPr>
  </w:style>
  <w:style w:type="paragraph" w:styleId="927">
    <w:name w:val="Title"/>
    <w:basedOn w:val="920"/>
    <w:qFormat/>
    <w:rPr>
      <w:rFonts w:cs="Arial"/>
      <w:b/>
      <w:bCs/>
      <w:sz w:val="28"/>
      <w:szCs w:val="32"/>
    </w:rPr>
    <w:pPr>
      <w:jc w:val="center"/>
      <w:spacing w:after="60" w:before="240"/>
      <w:outlineLvl w:val="0"/>
    </w:pPr>
  </w:style>
  <w:style w:type="paragraph" w:styleId="928" w:customStyle="1">
    <w:name w:val="Abstract"/>
    <w:basedOn w:val="920"/>
    <w:next w:val="920"/>
    <w:rPr>
      <w:sz w:val="18"/>
    </w:rPr>
    <w:pPr>
      <w:ind w:left="567" w:right="567"/>
    </w:pPr>
  </w:style>
  <w:style w:type="paragraph" w:styleId="929">
    <w:name w:val="footnote text"/>
    <w:basedOn w:val="920"/>
    <w:semiHidden/>
    <w:rPr>
      <w:sz w:val="16"/>
      <w:szCs w:val="20"/>
    </w:rPr>
    <w:pPr>
      <w:jc w:val="left"/>
      <w:spacing w:after="0"/>
    </w:pPr>
  </w:style>
  <w:style w:type="character" w:styleId="930">
    <w:name w:val="footnote reference"/>
    <w:semiHidden/>
    <w:rPr>
      <w:vertAlign w:val="superscript"/>
    </w:rPr>
  </w:style>
  <w:style w:type="character" w:styleId="931" w:customStyle="1">
    <w:name w:val="AG-STZ"/>
    <w:semiHidden/>
    <w:rPr>
      <w:rFonts w:ascii="Arial" w:hAnsi="Arial" w:cs="Arial" w:hint="default"/>
      <w:color w:val="auto"/>
      <w:sz w:val="20"/>
      <w:szCs w:val="20"/>
    </w:rPr>
  </w:style>
  <w:style w:type="paragraph" w:styleId="932" w:customStyle="1">
    <w:name w:val="References"/>
    <w:basedOn w:val="920"/>
    <w:rPr>
      <w:sz w:val="18"/>
      <w:szCs w:val="20"/>
      <w:lang w:val="en-GB" w:eastAsia="en-US"/>
    </w:rPr>
    <w:pPr>
      <w:ind w:left="240" w:hanging="240"/>
      <w:jc w:val="left"/>
      <w:keepLines w:val="false"/>
      <w:spacing w:lineRule="exact" w:line="220" w:after="0"/>
    </w:pPr>
  </w:style>
  <w:style w:type="paragraph" w:styleId="933" w:customStyle="1">
    <w:name w:val="Literaturverzeichnis1"/>
    <w:basedOn w:val="920"/>
    <w:rPr>
      <w:sz w:val="18"/>
      <w:lang w:val="en-GB"/>
    </w:rPr>
    <w:pPr>
      <w:ind w:left="709" w:hanging="709"/>
      <w:spacing w:after="60"/>
    </w:pPr>
  </w:style>
  <w:style w:type="paragraph" w:styleId="934" w:customStyle="1">
    <w:name w:val="Default"/>
    <w:link w:val="935"/>
    <w:rPr>
      <w:color w:val="000000"/>
      <w:sz w:val="24"/>
      <w:szCs w:val="24"/>
    </w:rPr>
  </w:style>
  <w:style w:type="character" w:styleId="935" w:customStyle="1">
    <w:name w:val="Default Char"/>
    <w:link w:val="934"/>
    <w:rPr>
      <w:color w:val="000000"/>
      <w:sz w:val="24"/>
      <w:szCs w:val="24"/>
      <w:lang w:val="de-DE" w:bidi="ar-SA" w:eastAsia="de-DE"/>
    </w:rPr>
  </w:style>
  <w:style w:type="paragraph" w:styleId="936" w:customStyle="1">
    <w:name w:val="reference"/>
    <w:basedOn w:val="920"/>
    <w:link w:val="937"/>
    <w:rPr>
      <w:rFonts w:ascii="Times" w:hAnsi="Times"/>
      <w:sz w:val="18"/>
      <w:szCs w:val="20"/>
      <w:lang w:val="en-US"/>
    </w:rPr>
    <w:pPr>
      <w:ind w:left="227" w:hanging="227"/>
      <w:keepLines w:val="false"/>
      <w:spacing w:after="0"/>
    </w:pPr>
  </w:style>
  <w:style w:type="character" w:styleId="937" w:customStyle="1">
    <w:name w:val="reference Char"/>
    <w:link w:val="936"/>
    <w:rPr>
      <w:rFonts w:ascii="Times" w:hAnsi="Times"/>
      <w:sz w:val="18"/>
      <w:lang w:val="en-US" w:bidi="ar-SA" w:eastAsia="de-DE"/>
    </w:rPr>
  </w:style>
  <w:style w:type="character" w:styleId="938">
    <w:name w:val="Hyperlink"/>
    <w:rPr>
      <w:color w:val="0000FF"/>
      <w:u w:val="single"/>
    </w:rPr>
  </w:style>
  <w:style w:type="character" w:styleId="939">
    <w:name w:val="annotation reference"/>
    <w:semiHidden/>
    <w:rPr>
      <w:sz w:val="16"/>
      <w:szCs w:val="16"/>
    </w:rPr>
  </w:style>
  <w:style w:type="paragraph" w:styleId="940">
    <w:name w:val="annotation text"/>
    <w:basedOn w:val="920"/>
    <w:semiHidden/>
    <w:rPr>
      <w:sz w:val="20"/>
      <w:szCs w:val="20"/>
    </w:rPr>
  </w:style>
  <w:style w:type="paragraph" w:styleId="941">
    <w:name w:val="annotation subject"/>
    <w:basedOn w:val="940"/>
    <w:next w:val="940"/>
    <w:semiHidden/>
    <w:rPr>
      <w:b/>
      <w:bCs/>
    </w:rPr>
  </w:style>
  <w:style w:type="paragraph" w:styleId="942">
    <w:name w:val="Balloon Text"/>
    <w:basedOn w:val="920"/>
    <w:semiHidden/>
    <w:rPr>
      <w:rFonts w:ascii="Tahoma" w:hAnsi="Tahoma" w:cs="Tahoma"/>
      <w:sz w:val="16"/>
      <w:szCs w:val="16"/>
    </w:rPr>
  </w:style>
  <w:style w:type="table" w:styleId="943">
    <w:name w:val="Table Grid"/>
    <w:basedOn w:val="924"/>
    <w:pPr>
      <w:jc w:val="both"/>
      <w:keepLines/>
      <w:spacing w:after="20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44">
    <w:name w:val="Footer"/>
    <w:basedOn w:val="920"/>
    <w:pPr>
      <w:tabs>
        <w:tab w:val="center" w:pos="4536" w:leader="none"/>
        <w:tab w:val="right" w:pos="9072" w:leader="none"/>
      </w:tabs>
    </w:pPr>
  </w:style>
  <w:style w:type="character" w:styleId="945">
    <w:name w:val="page number"/>
    <w:basedOn w:val="923"/>
  </w:style>
  <w:style w:type="character" w:styleId="946">
    <w:name w:val="Emphasis"/>
    <w:qFormat/>
    <w:uiPriority w:val="20"/>
    <w:rPr>
      <w:i/>
      <w:iCs/>
    </w:rPr>
  </w:style>
  <w:style w:type="paragraph" w:styleId="947">
    <w:name w:val="List Bullet"/>
    <w:basedOn w:val="920"/>
    <w:pPr>
      <w:numPr>
        <w:numId w:val="10"/>
      </w:numPr>
    </w:pPr>
  </w:style>
  <w:style w:type="paragraph" w:styleId="948">
    <w:name w:val="Header"/>
    <w:basedOn w:val="920"/>
    <w:pPr>
      <w:tabs>
        <w:tab w:val="center" w:pos="4536" w:leader="none"/>
        <w:tab w:val="right" w:pos="9072" w:leader="none"/>
      </w:tabs>
    </w:pPr>
  </w:style>
  <w:style w:type="character" w:styleId="949">
    <w:name w:val="FollowedHyperlink"/>
    <w:rPr>
      <w:color w:val="800080"/>
      <w:u w:val="single"/>
    </w:rPr>
  </w:style>
  <w:style w:type="paragraph" w:styleId="950" w:customStyle="1">
    <w:name w:val="JUCS References"/>
    <w:basedOn w:val="920"/>
    <w:rPr>
      <w:sz w:val="18"/>
      <w:szCs w:val="18"/>
      <w:lang w:val="en-GB"/>
    </w:rPr>
    <w:pPr>
      <w:jc w:val="left"/>
      <w:keepLines w:val="false"/>
      <w:spacing w:after="0" w:before="120"/>
    </w:pPr>
  </w:style>
  <w:style w:type="character" w:styleId="951" w:customStyle="1">
    <w:name w:val="a"/>
    <w:basedOn w:val="923"/>
  </w:style>
  <w:style w:type="character" w:styleId="952" w:customStyle="1">
    <w:name w:val="string"/>
  </w:style>
  <w:style w:type="paragraph" w:styleId="953">
    <w:name w:val="endnote text"/>
    <w:basedOn w:val="920"/>
    <w:link w:val="954"/>
    <w:rPr>
      <w:sz w:val="20"/>
      <w:szCs w:val="20"/>
    </w:rPr>
    <w:pPr>
      <w:spacing w:after="0"/>
    </w:pPr>
  </w:style>
  <w:style w:type="character" w:styleId="954" w:customStyle="1">
    <w:name w:val="Endnotentext Zchn"/>
    <w:basedOn w:val="923"/>
    <w:link w:val="953"/>
  </w:style>
  <w:style w:type="character" w:styleId="955">
    <w:name w:val="endnote reference"/>
    <w:basedOn w:val="923"/>
    <w:rPr>
      <w:vertAlign w:val="superscript"/>
    </w:rPr>
  </w:style>
  <w:style w:type="character" w:styleId="956" w:customStyle="1">
    <w:name w:val="small-link-text"/>
    <w:basedOn w:val="923"/>
  </w:style>
  <w:style w:type="paragraph" w:styleId="957">
    <w:name w:val="Revision"/>
    <w:uiPriority w:val="99"/>
    <w:hidden/>
    <w:semiHidden/>
    <w:rPr>
      <w:sz w:val="24"/>
      <w:szCs w:val="24"/>
    </w:rPr>
  </w:style>
  <w:style w:type="paragraph" w:styleId="958">
    <w:name w:val="List Paragraph"/>
    <w:basedOn w:val="920"/>
    <w:qFormat/>
    <w:uiPriority w:val="34"/>
    <w:pPr>
      <w:contextualSpacing w:val="true"/>
      <w:ind w:left="720"/>
    </w:pPr>
  </w:style>
  <w:style w:type="paragraph" w:styleId="959" w:customStyle="1">
    <w:name w:val="Literaturverzeichnis2"/>
    <w:basedOn w:val="920"/>
    <w:rPr>
      <w:sz w:val="18"/>
      <w:lang w:val="en-GB"/>
    </w:rPr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customXml" Target="../customXml/item5.xml" /><Relationship Id="rId16" Type="http://schemas.openxmlformats.org/officeDocument/2006/relationships/hyperlink" Target="http://eurlex.europa.eu/LexUriServ/LexUriServ.do?uri=CELEX:32006H0962:EN:NO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9957C83474843A1CEC9D0FDD7AB89" ma:contentTypeVersion="2" ma:contentTypeDescription="Create a new document." ma:contentTypeScope="" ma:versionID="c6e7506cc3504bf01183ae1e6b36c242">
  <xsd:schema xmlns:xsd="http://www.w3.org/2001/XMLSchema" xmlns:xs="http://www.w3.org/2001/XMLSchema" xmlns:p="http://schemas.microsoft.com/office/2006/metadata/properties" xmlns:ns2="f2d54771-2520-4373-b1d5-04a6a8da04fd" targetNamespace="http://schemas.microsoft.com/office/2006/metadata/properties" ma:root="true" ma:fieldsID="0f963e9bbdebd7a8a41fa6933ccd2906" ns2:_="">
    <xsd:import namespace="f2d54771-2520-4373-b1d5-04a6a8da0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4771-2520-4373-b1d5-04a6a8da0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7253648-81B9-4B14-84AD-08D5F7803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54771-2520-4373-b1d5-04a6a8da0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5B084-27B6-46C4-A1FD-2D805AB219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4E409-8044-42A2-AE19-D1B80ECE8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E27F83-7710-41A7-B512-2E9C64F2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ONLYOFFICE/6.4.0.121</Application>
  <Company>TU-Darmstadt</Company>
  <DocSecurity>0</DocSecurity>
  <HyperlinkBase/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Interaktive Visualisierung von Wissensressourcen einer Lerncommunity und Modellierung eines Ressourcenpfads</dc:title>
  <dc:creator>rensing</dc:creator>
  <cp:lastModifiedBy>Bean</cp:lastModifiedBy>
  <cp:revision>4</cp:revision>
  <dcterms:created xsi:type="dcterms:W3CDTF">2021-11-12T08:01:00Z</dcterms:created>
  <dcterms:modified xsi:type="dcterms:W3CDTF">2021-11-15T12:44:55Z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SKOMID">
    <vt:lpwstr>5c62d289-9108-45ee-aa36-56e687596631</vt:lpwstr>
  </property>
  <property fmtid="{D5CDD505-2E9C-101B-9397-08002B2CF9AE}" pid="3" name="ContentTypeId">
    <vt:lpwstr>0x01010033C9957C83474843A1CEC9D0FDD7AB89</vt:lpwstr>
  </property>
</Properties>
</file>